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1275D6FD" w:rsidR="008E3AB8" w:rsidRPr="00F838EA" w:rsidRDefault="00DF47E2" w:rsidP="00932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F838EA" w:rsidRPr="00F838EA">
              <w:rPr>
                <w:rFonts w:ascii="Times New Roman" w:hAnsi="Times New Roman" w:cs="Times New Roman"/>
                <w:b/>
                <w:szCs w:val="24"/>
              </w:rPr>
              <w:t>.0</w:t>
            </w:r>
            <w:r w:rsidR="0093270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F838EA">
              <w:rPr>
                <w:rFonts w:ascii="Times New Roman" w:hAnsi="Times New Roman" w:cs="Times New Roman"/>
                <w:b/>
                <w:szCs w:val="24"/>
              </w:rPr>
              <w:t>.202</w:t>
            </w:r>
            <w:r w:rsidR="0093270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F838EA" w:rsidRPr="002F6465" w14:paraId="07CE79DF" w14:textId="77777777" w:rsidTr="00D76E7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3B675FAE" w14:textId="4C3B613E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>kiselevaas@economy.gov.ru</w:t>
            </w:r>
          </w:p>
        </w:tc>
      </w:tr>
      <w:tr w:rsidR="00F838EA" w:rsidRPr="002F6465" w14:paraId="6B839E6A" w14:textId="77777777" w:rsidTr="00D76E7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F838EA" w:rsidRPr="008E3AB8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  <w:vAlign w:val="center"/>
          </w:tcPr>
          <w:p w14:paraId="285F4FC2" w14:textId="0E33D3BF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Киселева Алевтина Станиславовна, </w:t>
            </w:r>
            <w:r>
              <w:rPr>
                <w:rFonts w:ascii="Times New Roman" w:hAnsi="Times New Roman" w:cs="Times New Roman"/>
              </w:rPr>
              <w:br/>
            </w:r>
            <w:r w:rsidRPr="00F838EA">
              <w:rPr>
                <w:rFonts w:ascii="Times New Roman" w:hAnsi="Times New Roman" w:cs="Times New Roman"/>
              </w:rPr>
              <w:t>Тел. 8 (495) 870-29-21 (доб.10642)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2DC918A9" w:rsidR="00366B6C" w:rsidRPr="00F838EA" w:rsidRDefault="00DF47E2" w:rsidP="00DF47E2">
            <w:pPr>
              <w:jc w:val="center"/>
              <w:rPr>
                <w:rFonts w:ascii="Times New Roman" w:hAnsi="Times New Roman" w:cs="Times New Roman"/>
              </w:rPr>
            </w:pPr>
            <w:r w:rsidRPr="00DF47E2">
              <w:rPr>
                <w:rFonts w:ascii="Times New Roman" w:hAnsi="Times New Roman" w:cs="Times New Roman"/>
              </w:rPr>
              <w:t xml:space="preserve">проект приказа Минэнерго России </w:t>
            </w:r>
            <w:r>
              <w:rPr>
                <w:rFonts w:ascii="Times New Roman" w:hAnsi="Times New Roman" w:cs="Times New Roman"/>
              </w:rPr>
              <w:br/>
            </w:r>
            <w:r w:rsidRPr="00DF47E2">
              <w:rPr>
                <w:rFonts w:ascii="Times New Roman" w:hAnsi="Times New Roman" w:cs="Times New Roman"/>
              </w:rPr>
              <w:t xml:space="preserve">«Об утверждении Методических указаний </w:t>
            </w:r>
            <w:r>
              <w:rPr>
                <w:rFonts w:ascii="Times New Roman" w:hAnsi="Times New Roman" w:cs="Times New Roman"/>
              </w:rPr>
              <w:br/>
            </w:r>
            <w:r w:rsidRPr="00DF47E2">
              <w:rPr>
                <w:rFonts w:ascii="Times New Roman" w:hAnsi="Times New Roman" w:cs="Times New Roman"/>
              </w:rPr>
              <w:t xml:space="preserve">по разработке прогноза потребления электрической </w:t>
            </w:r>
            <w:bookmarkStart w:id="0" w:name="_GoBack"/>
            <w:bookmarkEnd w:id="0"/>
            <w:r w:rsidRPr="00DF47E2">
              <w:rPr>
                <w:rFonts w:ascii="Times New Roman" w:hAnsi="Times New Roman" w:cs="Times New Roman"/>
              </w:rPr>
              <w:t xml:space="preserve">энергии и мощности на долгосрочный период и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DF47E2">
              <w:rPr>
                <w:rFonts w:ascii="Times New Roman" w:hAnsi="Times New Roman" w:cs="Times New Roman"/>
              </w:rPr>
              <w:t xml:space="preserve">в Методические указания по проектированию развития энергосистем, утвержденные приказом Минэнерго России от 6 декабря </w:t>
            </w:r>
            <w:r>
              <w:rPr>
                <w:rFonts w:ascii="Times New Roman" w:hAnsi="Times New Roman" w:cs="Times New Roman"/>
              </w:rPr>
              <w:br/>
            </w:r>
            <w:r w:rsidRPr="00DF47E2">
              <w:rPr>
                <w:rFonts w:ascii="Times New Roman" w:hAnsi="Times New Roman" w:cs="Times New Roman"/>
              </w:rPr>
              <w:t xml:space="preserve">2022 г. № 1286» </w:t>
            </w:r>
          </w:p>
        </w:tc>
      </w:tr>
      <w:tr w:rsidR="00F838EA" w:rsidRPr="002F6465" w14:paraId="62FE9DF0" w14:textId="77777777" w:rsidTr="00F22B1C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  <w:vAlign w:val="center"/>
          </w:tcPr>
          <w:p w14:paraId="1A6D0251" w14:textId="55A0ED27" w:rsidR="00F838EA" w:rsidRPr="00F838EA" w:rsidRDefault="00A141C7" w:rsidP="0029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r w:rsidR="00292FCA">
              <w:rPr>
                <w:rFonts w:ascii="Times New Roman" w:hAnsi="Times New Roman" w:cs="Times New Roman"/>
              </w:rPr>
              <w:t>энерго</w:t>
            </w:r>
            <w:r w:rsidR="00815C82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838EA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0C5F9F90" w:rsidR="00F838EA" w:rsidRPr="00F838EA" w:rsidRDefault="00F838EA" w:rsidP="00B5354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ID проекта: </w:t>
            </w:r>
            <w:r w:rsidR="00DF47E2" w:rsidRPr="00DF47E2">
              <w:rPr>
                <w:rFonts w:ascii="Times New Roman" w:hAnsi="Times New Roman" w:cs="Times New Roman"/>
              </w:rPr>
              <w:t>02/08/11-23/00143874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найм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7A3D" w14:textId="77777777" w:rsidR="00524AD5" w:rsidRDefault="00524AD5">
      <w:pPr>
        <w:spacing w:after="0" w:line="240" w:lineRule="auto"/>
      </w:pPr>
      <w:r>
        <w:separator/>
      </w:r>
    </w:p>
  </w:endnote>
  <w:endnote w:type="continuationSeparator" w:id="0">
    <w:p w14:paraId="1E24473C" w14:textId="77777777" w:rsidR="00524AD5" w:rsidRDefault="0052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5EB74FD4" w:rsidR="00F84E50" w:rsidRPr="00EB43FD" w:rsidRDefault="0097608D" w:rsidP="00F838EA">
    <w:pPr>
      <w:pStyle w:val="a7"/>
    </w:pPr>
    <w:r w:rsidRPr="00CE2D3F">
      <w:rPr>
        <w:noProof/>
        <w:lang w:val="ru-RU" w:eastAsia="ru-RU"/>
      </w:rPr>
      <w:drawing>
        <wp:inline distT="0" distB="0" distL="0" distR="0" wp14:anchorId="488195ED" wp14:editId="172D8F44">
          <wp:extent cx="3964838" cy="270662"/>
          <wp:effectExtent l="0" t="0" r="0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3148" b="-10712"/>
                  <a:stretch/>
                </pic:blipFill>
                <pic:spPr bwMode="auto">
                  <a:xfrm>
                    <a:off x="0" y="0"/>
                    <a:ext cx="3971276" cy="271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EAEF" w14:textId="77777777" w:rsidR="00524AD5" w:rsidRDefault="00524AD5">
      <w:pPr>
        <w:spacing w:after="0" w:line="240" w:lineRule="auto"/>
      </w:pPr>
      <w:r>
        <w:separator/>
      </w:r>
    </w:p>
  </w:footnote>
  <w:footnote w:type="continuationSeparator" w:id="0">
    <w:p w14:paraId="0D04D0B0" w14:textId="77777777" w:rsidR="00524AD5" w:rsidRDefault="00524AD5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524A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B4F2E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92FCA"/>
    <w:rsid w:val="002B2DBB"/>
    <w:rsid w:val="002C4205"/>
    <w:rsid w:val="002F6465"/>
    <w:rsid w:val="0030357E"/>
    <w:rsid w:val="00305845"/>
    <w:rsid w:val="00317E47"/>
    <w:rsid w:val="003351AC"/>
    <w:rsid w:val="00342D2F"/>
    <w:rsid w:val="0035155B"/>
    <w:rsid w:val="00351C0C"/>
    <w:rsid w:val="00366B6C"/>
    <w:rsid w:val="003709A8"/>
    <w:rsid w:val="00380821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520DE9"/>
    <w:rsid w:val="00522D62"/>
    <w:rsid w:val="00524AD5"/>
    <w:rsid w:val="005368E4"/>
    <w:rsid w:val="005422E1"/>
    <w:rsid w:val="00545C06"/>
    <w:rsid w:val="00557782"/>
    <w:rsid w:val="00567A11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77D7"/>
    <w:rsid w:val="006D4BE9"/>
    <w:rsid w:val="006E032E"/>
    <w:rsid w:val="006E0A62"/>
    <w:rsid w:val="006E4D40"/>
    <w:rsid w:val="006F0CBC"/>
    <w:rsid w:val="006F671C"/>
    <w:rsid w:val="00716BD2"/>
    <w:rsid w:val="00721CF3"/>
    <w:rsid w:val="00735E43"/>
    <w:rsid w:val="00736DA4"/>
    <w:rsid w:val="00737AD4"/>
    <w:rsid w:val="00782667"/>
    <w:rsid w:val="007A1CD3"/>
    <w:rsid w:val="007B5FC5"/>
    <w:rsid w:val="007C7F02"/>
    <w:rsid w:val="007D7D9C"/>
    <w:rsid w:val="007E3099"/>
    <w:rsid w:val="007F6F7B"/>
    <w:rsid w:val="008026EC"/>
    <w:rsid w:val="00815C82"/>
    <w:rsid w:val="008572FA"/>
    <w:rsid w:val="00857D5F"/>
    <w:rsid w:val="00894A4A"/>
    <w:rsid w:val="00895BAD"/>
    <w:rsid w:val="008A3345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26CDE"/>
    <w:rsid w:val="0093270F"/>
    <w:rsid w:val="009719CF"/>
    <w:rsid w:val="0097608D"/>
    <w:rsid w:val="009874A4"/>
    <w:rsid w:val="009910A1"/>
    <w:rsid w:val="009E04FC"/>
    <w:rsid w:val="009E6884"/>
    <w:rsid w:val="009E7E74"/>
    <w:rsid w:val="00A048C1"/>
    <w:rsid w:val="00A141C7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A7216"/>
    <w:rsid w:val="00AB558F"/>
    <w:rsid w:val="00AD549A"/>
    <w:rsid w:val="00AE2CC6"/>
    <w:rsid w:val="00AF3B46"/>
    <w:rsid w:val="00B4785C"/>
    <w:rsid w:val="00B5354A"/>
    <w:rsid w:val="00B63069"/>
    <w:rsid w:val="00B63C7A"/>
    <w:rsid w:val="00B8553A"/>
    <w:rsid w:val="00BA70CE"/>
    <w:rsid w:val="00BB6091"/>
    <w:rsid w:val="00BD1AA2"/>
    <w:rsid w:val="00BD370B"/>
    <w:rsid w:val="00C05791"/>
    <w:rsid w:val="00C15A42"/>
    <w:rsid w:val="00C23474"/>
    <w:rsid w:val="00C27CE2"/>
    <w:rsid w:val="00C64846"/>
    <w:rsid w:val="00C73458"/>
    <w:rsid w:val="00C917C0"/>
    <w:rsid w:val="00C919EF"/>
    <w:rsid w:val="00CA2E2D"/>
    <w:rsid w:val="00CC4F0D"/>
    <w:rsid w:val="00CD6098"/>
    <w:rsid w:val="00CF585C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DF47E2"/>
    <w:rsid w:val="00E005F5"/>
    <w:rsid w:val="00E20E1A"/>
    <w:rsid w:val="00E242B3"/>
    <w:rsid w:val="00E92985"/>
    <w:rsid w:val="00EB0DBA"/>
    <w:rsid w:val="00EC00D5"/>
    <w:rsid w:val="00EE4917"/>
    <w:rsid w:val="00F01173"/>
    <w:rsid w:val="00F02D69"/>
    <w:rsid w:val="00F1574B"/>
    <w:rsid w:val="00F20006"/>
    <w:rsid w:val="00F34587"/>
    <w:rsid w:val="00F7542B"/>
    <w:rsid w:val="00F838EA"/>
    <w:rsid w:val="00F85C33"/>
    <w:rsid w:val="00F90D13"/>
    <w:rsid w:val="00F92667"/>
    <w:rsid w:val="00F95A60"/>
    <w:rsid w:val="00FA56C6"/>
    <w:rsid w:val="00FD3EF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B6AD-391E-4D90-8E61-3BB6818E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Киселева Алевтина Станиславовна</cp:lastModifiedBy>
  <cp:revision>19</cp:revision>
  <dcterms:created xsi:type="dcterms:W3CDTF">2022-12-08T08:52:00Z</dcterms:created>
  <dcterms:modified xsi:type="dcterms:W3CDTF">2024-02-14T10:55:00Z</dcterms:modified>
</cp:coreProperties>
</file>