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76300" cy="981075"/>
                <wp:effectExtent l="0" t="0" r="0" b="9525"/>
                <wp:docPr id="1" name="Рисунок 1" descr="http://www.eao.ru/bitrix/templates/webpro/images/coat-of-a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ao.ru/bitrix/templates/webpro/images/coat-of-arms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876299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9.00pt;height:77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61"/>
        <w:jc w:val="center"/>
        <w:spacing w:line="276" w:lineRule="auto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ДОКЛАД</w:t>
      </w:r>
      <w:r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</w:r>
      <w:r>
        <w:rPr>
          <w:b/>
          <w:bCs/>
          <w:color w:val="auto"/>
          <w:sz w:val="36"/>
          <w:szCs w:val="36"/>
        </w:rPr>
      </w:r>
    </w:p>
    <w:p>
      <w:pPr>
        <w:pStyle w:val="861"/>
        <w:jc w:val="center"/>
        <w:spacing w:line="276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РЕЗ</w:t>
      </w:r>
      <w:r>
        <w:rPr>
          <w:b/>
          <w:bCs/>
          <w:color w:val="auto"/>
          <w:sz w:val="32"/>
          <w:szCs w:val="32"/>
        </w:rPr>
        <w:t xml:space="preserve">У</w:t>
      </w:r>
      <w:r>
        <w:rPr>
          <w:b/>
          <w:bCs/>
          <w:color w:val="auto"/>
          <w:sz w:val="32"/>
          <w:szCs w:val="32"/>
        </w:rPr>
        <w:t xml:space="preserve">ЛЬТАТАХ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И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РАЗВИТИИ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ПРОЦЕДУРЫ </w:t>
      </w:r>
      <w:r>
        <w:rPr>
          <w:b/>
          <w:bCs/>
          <w:color w:val="auto"/>
          <w:sz w:val="32"/>
          <w:szCs w:val="32"/>
        </w:rPr>
        <w:br/>
      </w:r>
      <w:r>
        <w:rPr>
          <w:b/>
          <w:bCs/>
          <w:color w:val="auto"/>
          <w:sz w:val="32"/>
          <w:szCs w:val="32"/>
        </w:rPr>
        <w:t xml:space="preserve">ОЦЕНКИ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РЕГУЛИРУЮЩЕГО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ВОЗДЕЙСТВИЯ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В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br/>
      </w:r>
      <w:r>
        <w:rPr>
          <w:b/>
          <w:bCs/>
          <w:color w:val="auto"/>
          <w:sz w:val="32"/>
          <w:szCs w:val="32"/>
        </w:rPr>
        <w:t xml:space="preserve">ЕВРЕЙСКОЙ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АВТОНОМНОЙ 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ОБЛАСТИ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В</w:t>
      </w:r>
      <w:r>
        <w:rPr>
          <w:b/>
          <w:bCs/>
          <w:color w:val="auto"/>
          <w:sz w:val="32"/>
          <w:szCs w:val="32"/>
        </w:rPr>
        <w:t xml:space="preserve"> 20</w:t>
      </w:r>
      <w:r>
        <w:rPr>
          <w:b/>
          <w:bCs/>
          <w:color w:val="auto"/>
          <w:sz w:val="32"/>
          <w:szCs w:val="32"/>
        </w:rPr>
        <w:t xml:space="preserve">2</w:t>
      </w:r>
      <w:r>
        <w:rPr>
          <w:b/>
          <w:bCs/>
          <w:color w:val="auto"/>
          <w:sz w:val="32"/>
          <w:szCs w:val="32"/>
          <w:lang w:val="en-US"/>
        </w:rPr>
        <w:t xml:space="preserve">3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ГОД</w:t>
      </w:r>
      <w:r>
        <w:rPr>
          <w:b/>
          <w:bCs/>
          <w:color w:val="auto"/>
          <w:sz w:val="32"/>
          <w:szCs w:val="32"/>
        </w:rPr>
        <w:t xml:space="preserve">У</w:t>
      </w:r>
      <w:r>
        <w:rPr>
          <w:b/>
          <w:bCs/>
          <w:color w:val="auto"/>
          <w:sz w:val="32"/>
          <w:szCs w:val="32"/>
        </w:rPr>
      </w:r>
      <w:r>
        <w:rPr>
          <w:b/>
          <w:bCs/>
          <w:color w:val="auto"/>
          <w:sz w:val="32"/>
          <w:szCs w:val="32"/>
        </w:rPr>
      </w:r>
    </w:p>
    <w:p>
      <w:pPr>
        <w:pStyle w:val="861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в соответствии с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проектов нормативных правовых актов Еврейской автономной области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ЕАО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утвержденным постановлением правительства ЕАО от 16.06.2023 № 265-пп «Об оценке регулирующего воздействия проектов нормативных правовых актов Еврейской автономной области и экспертизе нормативных правовых актов Еврейской автономной области»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уполномоченный орган поступил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нормативных правовых акт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ЕАО,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процедура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регулирующего воздействия (далее – ОРВ) проведена в отношении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73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нормативных правовых актов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ЕАО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Справочно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2020 году рассмотрено 53 проекта нормативных правовых актов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в 2021 году рассмотрено 87 проектов нормативных правовых актов области, в 2022 году рассмотрено 126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проектов нормативных правовых актов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</w:r>
      <w:r>
        <w:rPr>
          <w:rFonts w:ascii="Times New Roman" w:hAnsi="Times New Roman" w:cs="Times New Roman"/>
          <w:b/>
          <w:sz w:val="40"/>
          <w:szCs w:val="40"/>
        </w:rPr>
      </w:r>
      <w:r>
        <w:rPr>
          <w:rFonts w:ascii="Times New Roman" w:hAnsi="Times New Roman" w:cs="Times New Roman"/>
          <w:b/>
          <w:sz w:val="40"/>
          <w:szCs w:val="4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</w:rPr>
      </w:r>
      <w:r>
        <w:rPr>
          <w:rFonts w:ascii="Times New Roman" w:hAnsi="Times New Roman" w:cs="Times New Roman"/>
          <w:b/>
          <w:bCs/>
          <w:sz w:val="40"/>
          <w:szCs w:val="4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highlight w:val="non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рассмотрения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проектов </w:t>
      </w:r>
      <w:r>
        <w:rPr>
          <w:rFonts w:ascii="Times New Roman" w:hAnsi="Times New Roman" w:cs="Times New Roman"/>
          <w:b/>
          <w:sz w:val="40"/>
          <w:szCs w:val="40"/>
        </w:rPr>
        <w:t xml:space="preserve">нормативных правовых актов ЕАО, </w:t>
      </w:r>
      <w:r>
        <w:rPr>
          <w:rFonts w:ascii="Times New Roman" w:hAnsi="Times New Roman" w:cs="Times New Roman"/>
          <w:b/>
          <w:sz w:val="40"/>
          <w:szCs w:val="40"/>
        </w:rPr>
        <w:t xml:space="preserve">поступивших в 20</w:t>
      </w:r>
      <w:r>
        <w:rPr>
          <w:rFonts w:ascii="Times New Roman" w:hAnsi="Times New Roman" w:cs="Times New Roman"/>
          <w:b/>
          <w:sz w:val="40"/>
          <w:szCs w:val="40"/>
        </w:rPr>
        <w:t xml:space="preserve">2</w:t>
      </w:r>
      <w:r>
        <w:rPr>
          <w:rFonts w:ascii="Times New Roman" w:hAnsi="Times New Roman" w:cs="Times New Roman"/>
          <w:b/>
          <w:sz w:val="40"/>
          <w:szCs w:val="40"/>
        </w:rPr>
        <w:t xml:space="preserve">3 году в уполномоченный орган в рамках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процедуры </w:t>
      </w:r>
      <w:r>
        <w:rPr>
          <w:rFonts w:ascii="Times New Roman" w:hAnsi="Times New Roman" w:cs="Times New Roman"/>
          <w:b/>
          <w:sz w:val="40"/>
          <w:szCs w:val="40"/>
        </w:rPr>
        <w:t xml:space="preserve">ОРВ</w:t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  <w:r>
        <w:rPr>
          <w:rFonts w:ascii="Times New Roman" w:hAnsi="Times New Roman" w:cs="Times New Roman"/>
          <w:b/>
          <w:bCs/>
          <w:sz w:val="40"/>
          <w:szCs w:val="40"/>
          <w:highlight w:val="none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  <w:shd w:val="clear" w:color="auto" w:fill="b6dde8" w:themeFill="accent5" w:themeFillTint="66"/>
          <w:lang w:eastAsia="ru-RU"/>
        </w:rPr>
        <w:drawing>
          <wp:inline distT="0" distB="0" distL="0" distR="0">
            <wp:extent cx="5886450" cy="6048375"/>
            <wp:effectExtent l="0" t="0" r="19050" b="9525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Перечень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регулирующих органов</w:t>
      </w:r>
      <w:r>
        <w:rPr>
          <w:rFonts w:ascii="Times New Roman" w:hAnsi="Times New Roman" w:cs="Times New Roman"/>
          <w:b/>
          <w:sz w:val="40"/>
          <w:szCs w:val="40"/>
        </w:rPr>
        <w:t xml:space="preserve"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которыми</w:t>
      </w:r>
      <w:r>
        <w:rPr>
          <w:rFonts w:ascii="Times New Roman" w:hAnsi="Times New Roman" w:cs="Times New Roman"/>
          <w:b/>
          <w:sz w:val="40"/>
          <w:szCs w:val="40"/>
        </w:rPr>
        <w:t xml:space="preserve"> в 20</w:t>
      </w:r>
      <w:r>
        <w:rPr>
          <w:rFonts w:ascii="Times New Roman" w:hAnsi="Times New Roman" w:cs="Times New Roman"/>
          <w:b/>
          <w:sz w:val="40"/>
          <w:szCs w:val="40"/>
        </w:rPr>
        <w:t xml:space="preserve">2</w:t>
      </w:r>
      <w:r>
        <w:rPr>
          <w:rFonts w:ascii="Times New Roman" w:hAnsi="Times New Roman" w:cs="Times New Roman"/>
          <w:b/>
          <w:sz w:val="40"/>
          <w:szCs w:val="40"/>
        </w:rPr>
        <w:t xml:space="preserve">3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году 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проводилась ОРВ</w:t>
      </w:r>
      <w:r>
        <w:rPr>
          <w:rFonts w:ascii="Times New Roman" w:hAnsi="Times New Roman" w:cs="Times New Roman"/>
          <w:b/>
          <w:sz w:val="40"/>
          <w:szCs w:val="40"/>
        </w:rPr>
        <w:t xml:space="preserve"> проектов НПА ЕАО</w:t>
      </w:r>
      <w:r>
        <w:rPr>
          <w:rFonts w:ascii="Times New Roman" w:hAnsi="Times New Roman" w:cs="Times New Roman"/>
          <w:b/>
          <w:sz w:val="40"/>
          <w:szCs w:val="40"/>
        </w:rPr>
      </w:r>
      <w:r>
        <w:rPr>
          <w:rFonts w:ascii="Times New Roman" w:hAnsi="Times New Roman" w:cs="Times New Roman"/>
          <w:b/>
          <w:sz w:val="40"/>
          <w:szCs w:val="40"/>
        </w:rPr>
      </w:r>
    </w:p>
    <w:p>
      <w:pPr>
        <w:ind w:right="-1"/>
        <w:jc w:val="center"/>
        <w:spacing w:line="240" w:lineRule="auto"/>
        <w:tabs>
          <w:tab w:val="left" w:pos="1695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850" w:right="1134" w:bottom="1701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  <w:lang w:eastAsia="ru-RU"/>
        </w:rPr>
        <w:drawing>
          <wp:inline distT="0" distB="0" distL="0" distR="0">
            <wp:extent cx="9086871" cy="4211207"/>
            <wp:effectExtent l="4762" t="4762" r="4762" b="4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проведения процедуры ОРВ в разрезе</w:t>
      </w:r>
      <w:r>
        <w:rPr>
          <w:rFonts w:ascii="Times New Roman" w:hAnsi="Times New Roman" w:cs="Times New Roman"/>
          <w:b/>
          <w:sz w:val="40"/>
          <w:szCs w:val="40"/>
        </w:rPr>
      </w:r>
      <w:r>
        <w:rPr>
          <w:rFonts w:ascii="Times New Roman" w:hAnsi="Times New Roman" w:cs="Times New Roman"/>
          <w:b/>
          <w:sz w:val="40"/>
          <w:szCs w:val="40"/>
        </w:rPr>
      </w:r>
    </w:p>
    <w:tbl>
      <w:tblPr>
        <w:tblStyle w:val="870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2409"/>
        <w:gridCol w:w="1134"/>
        <w:gridCol w:w="1701"/>
        <w:gridCol w:w="2127"/>
      </w:tblGrid>
      <w:tr>
        <w:trPr/>
        <w:tc>
          <w:tcPr>
            <w:shd w:val="clear" w:color="auto" w:fill="b6dde8" w:themeFill="accent5" w:themeFillTint="66"/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59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исполнительной власти области, формируемый правительством ЕАО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Направлено проектов НПА ЕАО всего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Направлено проектов НПА ЕАО в уполномоченный орган для определения необходимости проведения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процедуры ОРВ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Отозвано проектов НПА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gridSpan w:val="2"/>
            <w:shd w:val="clear" w:color="auto" w:fill="b6dde8" w:themeFill="accent5" w:themeFillTint="66"/>
            <w:tcW w:w="3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Результаты ОРВ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shd w:val="clear" w:color="auto" w:fill="b6dde8" w:themeFill="accent5" w:themeFillTint="66"/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24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Положительное заключение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shd w:val="clear" w:color="auto" w:fill="b6dde8" w:themeFill="accent5" w:themeFillTint="66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Отрицательное заключение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Законодательное Собрание </w:t>
            </w:r>
            <w:r>
              <w:rPr>
                <w:rFonts w:ascii="Times New Roman" w:hAnsi="Times New Roman"/>
                <w:bCs/>
              </w:rPr>
              <w:t xml:space="preserve">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 </w:t>
            </w:r>
            <w:r>
              <w:rPr>
                <w:rFonts w:ascii="Times New Roman" w:hAnsi="Times New Roman"/>
                <w:lang w:val="ru-RU" w:eastAsia="en-US"/>
              </w:rPr>
              <w:t xml:space="preserve">по управлению государственным имуществом </w:t>
            </w:r>
            <w:r>
              <w:rPr>
                <w:rFonts w:ascii="Times New Roman" w:hAnsi="Times New Roman"/>
                <w:bCs/>
              </w:rPr>
              <w:t xml:space="preserve">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6"/>
        </w:trPr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 </w:t>
            </w:r>
            <w:r>
              <w:rPr>
                <w:rFonts w:ascii="Times New Roman" w:hAnsi="Times New Roman"/>
                <w:lang w:val="ru-RU" w:eastAsia="en-US"/>
              </w:rPr>
              <w:t xml:space="preserve">природных ресурсов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правительства 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</w:t>
            </w:r>
            <w:r>
              <w:rPr>
                <w:rFonts w:ascii="Times New Roman" w:hAnsi="Times New Roman"/>
                <w:lang w:val="ru-RU" w:eastAsia="en-US"/>
              </w:rPr>
              <w:t xml:space="preserve"> автомобильных дорог и транспорта </w:t>
            </w:r>
            <w:r>
              <w:rPr>
                <w:rFonts w:ascii="Times New Roman" w:hAnsi="Times New Roman"/>
                <w:bCs/>
              </w:rPr>
              <w:t xml:space="preserve">правительства 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 </w:t>
            </w:r>
            <w:r>
              <w:rPr>
                <w:rFonts w:ascii="Times New Roman" w:hAnsi="Times New Roman"/>
                <w:lang w:val="ru-RU" w:eastAsia="en-US"/>
              </w:rPr>
              <w:t xml:space="preserve"> экономики </w:t>
            </w:r>
            <w:r>
              <w:rPr>
                <w:rFonts w:ascii="Times New Roman" w:hAnsi="Times New Roman"/>
                <w:bCs/>
              </w:rPr>
              <w:t xml:space="preserve">правительства 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 w:eastAsia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</w:t>
            </w:r>
            <w:r>
              <w:rPr>
                <w:rFonts w:ascii="Times New Roman" w:hAnsi="Times New Roman"/>
                <w:lang w:val="ru-RU" w:eastAsia="en-US"/>
              </w:rPr>
              <w:t xml:space="preserve"> промышленности и сельского хозяйства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правительства Еврейской автономной области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/>
                <w:lang w:val="ru-RU" w:eastAsia="en-US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Департамент по труду и занятости населения </w:t>
            </w:r>
            <w:r>
              <w:rPr>
                <w:rFonts w:ascii="Times New Roman" w:hAnsi="Times New Roman"/>
                <w:bCs/>
              </w:rPr>
              <w:t xml:space="preserve">правительства Еврейской автономной области</w:t>
            </w:r>
            <w:r>
              <w:rPr>
                <w:rFonts w:ascii="Times New Roman" w:hAnsi="Times New Roman"/>
                <w:lang w:val="ru-RU" w:eastAsia="en-US"/>
              </w:rPr>
            </w:r>
            <w:r>
              <w:rPr>
                <w:rFonts w:ascii="Times New Roman" w:hAnsi="Times New Roman"/>
                <w:lang w:val="ru-RU" w:eastAsia="en-US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rPr>
                <w:rFonts w:ascii="Times New Roman" w:hAnsi="Times New Roman"/>
                <w:lang w:val="ru-RU" w:eastAsia="en-US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Государственная жилищная инспекция</w:t>
            </w:r>
            <w:r>
              <w:rPr>
                <w:rFonts w:ascii="Times New Roman" w:hAnsi="Times New Roman"/>
                <w:lang w:val="ru-RU" w:eastAsia="en-US"/>
              </w:rPr>
            </w:r>
            <w:r>
              <w:rPr>
                <w:rFonts w:ascii="Times New Roman" w:hAnsi="Times New Roman"/>
                <w:lang w:val="ru-RU" w:eastAsia="en-US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4"/>
        </w:trPr>
        <w:tc>
          <w:tcPr>
            <w:shd w:val="clear" w:color="auto" w:fill="daeef3" w:themeFill="accent5" w:themeFillTint="33"/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5953" w:type="dxa"/>
            <w:textDirection w:val="lrTb"/>
            <w:noWrap w:val="false"/>
          </w:tcPr>
          <w:p>
            <w:pPr>
              <w:pStyle w:val="856"/>
              <w:jc w:val="both"/>
              <w:rPr>
                <w:rStyle w:val="871"/>
                <w:rFonts w:ascii="Times New Roman" w:hAnsi="Times New Roman"/>
                <w:lang w:val="ru-RU" w:eastAsia="en-US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Инспекция Гостехнадзора</w:t>
            </w:r>
            <w:r>
              <w:rPr>
                <w:rStyle w:val="871"/>
                <w:rFonts w:ascii="Times New Roman" w:hAnsi="Times New Roman"/>
                <w:lang w:val="ru-RU" w:eastAsia="en-US"/>
              </w:rPr>
            </w:r>
            <w:r>
              <w:rPr>
                <w:rStyle w:val="871"/>
                <w:rFonts w:ascii="Times New Roman" w:hAnsi="Times New Roman"/>
                <w:lang w:val="ru-RU" w:eastAsia="en-US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44"/>
        </w:trPr>
        <w:tc>
          <w:tcPr>
            <w:shd w:val="clear" w:color="ffffff" w:fill="daeef3" w:themeFill="accent5" w:themeFillTint="33"/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daeef3" w:themeFill="accent5" w:themeFillTint="33"/>
            <w:tcW w:w="5953" w:type="dxa"/>
            <w:vMerge w:val="restart"/>
            <w:textDirection w:val="lrTb"/>
            <w:noWrap w:val="false"/>
          </w:tcPr>
          <w:p>
            <w:pPr>
              <w:pStyle w:val="856"/>
              <w:jc w:val="both"/>
              <w:rPr>
                <w:rFonts w:ascii="Times New Roman" w:hAnsi="Times New Roman"/>
                <w:lang w:val="ru-RU" w:eastAsia="en-US"/>
              </w:rPr>
              <w:outlineLvl w:val="0"/>
            </w:pPr>
            <w:r>
              <w:rPr>
                <w:rFonts w:ascii="Times New Roman" w:hAnsi="Times New Roman"/>
                <w:lang w:val="ru-RU" w:eastAsia="en-US"/>
              </w:rPr>
              <w:t xml:space="preserve">Инспекция Госстройнадзора</w:t>
            </w:r>
            <w:r>
              <w:rPr>
                <w:rFonts w:ascii="Times New Roman" w:hAnsi="Times New Roman"/>
                <w:lang w:val="ru-RU" w:eastAsia="en-US"/>
              </w:rPr>
            </w:r>
            <w:r>
              <w:rPr>
                <w:rFonts w:ascii="Times New Roman" w:hAnsi="Times New Roman"/>
                <w:lang w:val="ru-RU" w:eastAsia="en-US"/>
              </w:rPr>
            </w:r>
          </w:p>
        </w:tc>
        <w:tc>
          <w:tcPr>
            <w:shd w:val="clear" w:color="ffffff" w:fill="daeef3" w:themeFill="accent5" w:themeFillTint="33"/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daeef3" w:themeFill="accent5" w:themeFillTint="33"/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daeef3" w:themeFill="accent5" w:themeFillTint="33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daeef3" w:themeFill="accent5" w:themeFillTint="33"/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daeef3" w:themeFill="accent5" w:themeFillTint="33"/>
            <w:tcW w:w="21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daeef3" w:themeFill="accent5" w:themeFillTint="33"/>
            <w:tcW w:w="64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daeef3" w:themeFill="accent5" w:themeFillTint="33"/>
            <w:tcW w:w="14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daeef3" w:themeFill="accent5" w:themeFillTint="33"/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daeef3" w:themeFill="accent5" w:themeFillTint="33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daeef3" w:themeFill="accent5" w:themeFillTint="33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daeef3" w:themeFill="accent5" w:themeFillTint="33"/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</w:tr>
    </w:tbl>
    <w:p>
      <w:pPr>
        <w:jc w:val="center"/>
        <w:spacing w:before="240" w:line="240" w:lineRule="auto"/>
        <w:shd w:val="clear" w:color="auto" w:fill="ffffff"/>
        <w:rPr>
          <w:rFonts w:ascii="Times New Roman" w:hAnsi="Times New Roman" w:eastAsia="Times New Roman" w:cs="Times New Roman"/>
          <w:color w:val="00b050"/>
          <w:sz w:val="20"/>
          <w:szCs w:val="20"/>
          <w:lang w:eastAsia="ru-RU"/>
        </w:rPr>
        <w:sectPr>
          <w:footnotePr/>
          <w:endnotePr/>
          <w:type w:val="nextPage"/>
          <w:pgSz w:w="16838" w:h="11906" w:orient="landscape"/>
          <w:pgMar w:top="850" w:right="1134" w:bottom="1701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b05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b050"/>
          <w:sz w:val="20"/>
          <w:szCs w:val="20"/>
          <w:lang w:eastAsia="ru-RU"/>
        </w:rPr>
      </w:r>
      <w:r>
        <w:rPr>
          <w:rFonts w:ascii="Times New Roman" w:hAnsi="Times New Roman" w:eastAsia="Times New Roman" w:cs="Times New Roman"/>
          <w:color w:val="00b050"/>
          <w:sz w:val="20"/>
          <w:szCs w:val="20"/>
          <w:lang w:eastAsia="ru-RU"/>
        </w:rPr>
      </w:r>
    </w:p>
    <w:p>
      <w:pPr>
        <w:pStyle w:val="861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Структура подготовленных в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году заключений </w:t>
      </w:r>
      <w:r>
        <w:rPr>
          <w:sz w:val="28"/>
          <w:szCs w:val="28"/>
        </w:rPr>
        <w:t xml:space="preserve">по процедуре </w:t>
      </w:r>
      <w:r>
        <w:rPr>
          <w:sz w:val="28"/>
          <w:szCs w:val="28"/>
        </w:rPr>
        <w:t xml:space="preserve">ОРВ проектов нормативных правовых актов </w:t>
      </w:r>
      <w:r>
        <w:rPr>
          <w:sz w:val="28"/>
          <w:szCs w:val="28"/>
        </w:rPr>
        <w:t xml:space="preserve">ЕАО</w:t>
      </w:r>
      <w:r>
        <w:rPr>
          <w:sz w:val="28"/>
          <w:szCs w:val="28"/>
        </w:rPr>
        <w:t xml:space="preserve"> показывает, что в большей степени регулирование предпринимательской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 xml:space="preserve">и иной экономической </w:t>
      </w:r>
      <w:r>
        <w:rPr>
          <w:sz w:val="28"/>
          <w:szCs w:val="28"/>
        </w:rPr>
        <w:t xml:space="preserve">деятельности в области осуществляется посредством принятия постановлений Правительства </w:t>
      </w:r>
      <w:r>
        <w:rPr>
          <w:sz w:val="28"/>
          <w:szCs w:val="28"/>
        </w:rPr>
        <w:t xml:space="preserve">ЕАО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1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института ОРВ, </w:t>
      </w:r>
      <w:r>
        <w:rPr>
          <w:sz w:val="28"/>
          <w:szCs w:val="28"/>
        </w:rPr>
        <w:t xml:space="preserve">кроме процедуры ОРВ проектов нормативных правовых актов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предусмотрена </w:t>
      </w:r>
      <w:r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ЕАО,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процедура направлена на оценку эффективности действующего регулирования и выявление положений, необоснованно затрудняющих осуществление предпринимательской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 xml:space="preserve">и иной экономической </w:t>
      </w:r>
      <w:r>
        <w:rPr>
          <w:sz w:val="28"/>
          <w:szCs w:val="28"/>
        </w:rPr>
        <w:t xml:space="preserve">деятельности.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1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Экспертизе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действующие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ЕАО, затрагивающие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1"/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экспертизы </w:t>
      </w:r>
      <w:r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 xml:space="preserve">осуществляется сбор </w:t>
      </w:r>
      <w:r>
        <w:rPr>
          <w:sz w:val="28"/>
          <w:szCs w:val="28"/>
        </w:rPr>
        <w:t xml:space="preserve">информации</w:t>
      </w:r>
      <w:r>
        <w:rPr>
          <w:sz w:val="28"/>
          <w:szCs w:val="28"/>
        </w:rPr>
        <w:t xml:space="preserve"> непосредственно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адресат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регулирования – предпринимател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, инвестор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 общественны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объединений,</w:t>
      </w:r>
      <w:r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ляющих</w:t>
      </w:r>
      <w:r>
        <w:rPr>
          <w:sz w:val="28"/>
          <w:szCs w:val="28"/>
        </w:rPr>
        <w:t xml:space="preserve"> интересы предпринимателей, а также Уполномоченн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защите прав предпринимателей в </w:t>
      </w:r>
      <w:r>
        <w:rPr>
          <w:sz w:val="28"/>
          <w:szCs w:val="28"/>
        </w:rPr>
        <w:t xml:space="preserve">ЕАО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3"/>
        <w:ind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году проведена экспертиза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3"/>
        <w:numPr>
          <w:ilvl w:val="0"/>
          <w:numId w:val="3"/>
        </w:numPr>
        <w:ind w:left="0"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rFonts w:eastAsiaTheme="minorHAnsi"/>
          <w:color w:val="000000"/>
          <w:sz w:val="28"/>
          <w:szCs w:val="28"/>
          <w:highlight w:val="none"/>
          <w:lang w:eastAsia="en-US"/>
        </w:rPr>
        <w:t xml:space="preserve">Постановления правительства ЕАО от 16.12.2022 № 534-пп</w:t>
        <w:br/>
        <w:t xml:space="preserve">«Об утверждении Порядка предоставления в 2022 </w:t>
      </w:r>
      <w:r>
        <w:rPr>
          <w:rFonts w:eastAsiaTheme="minorHAnsi"/>
          <w:color w:val="000000"/>
          <w:sz w:val="28"/>
          <w:szCs w:val="28"/>
          <w:highlight w:val="none"/>
          <w:lang w:eastAsia="en-US"/>
        </w:rPr>
        <w:t xml:space="preserve">г</w:t>
      </w:r>
      <w:r>
        <w:rPr>
          <w:rFonts w:eastAsiaTheme="minorHAnsi"/>
          <w:color w:val="000000"/>
          <w:sz w:val="28"/>
          <w:szCs w:val="28"/>
          <w:highlight w:val="none"/>
          <w:lang w:eastAsia="en-US"/>
        </w:rPr>
        <w:t xml:space="preserve">оду субсидии из областного бюджета сельскохозяйственным товаропроизводителям Еврейской автономной области на возмещение части затрат на поддержку элитного семеноводства»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экспертиз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ЕАО </w:t>
      </w:r>
      <w:r>
        <w:rPr>
          <w:rFonts w:ascii="Times New Roman" w:hAnsi="Times New Roman"/>
          <w:sz w:val="28"/>
          <w:szCs w:val="28"/>
        </w:rPr>
        <w:t xml:space="preserve">положений, вводящих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избыточные обязанности, запреты и ограничения для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/>
          <w:sz w:val="28"/>
          <w:szCs w:val="28"/>
        </w:rPr>
        <w:t xml:space="preserve">и иной экономической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или положений, способствующих возникновению необоснованных расходов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инвестиционной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иной экономической деятельности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бюджета ЕАО, </w:t>
      </w:r>
      <w:r>
        <w:rPr>
          <w:rFonts w:ascii="Times New Roman" w:hAnsi="Times New Roman"/>
          <w:sz w:val="28"/>
          <w:szCs w:val="28"/>
        </w:rPr>
        <w:t xml:space="preserve">не выявлено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pStyle w:val="873"/>
        <w:numPr>
          <w:ilvl w:val="0"/>
          <w:numId w:val="3"/>
        </w:numPr>
        <w:ind w:left="0" w:firstLine="709"/>
        <w:jc w:val="both"/>
        <w:spacing w:before="0" w:beforeAutospacing="0" w:after="0" w:afterAutospacing="0"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Приказ инспекции государственного строительного надзора ЕАО от 10.10.2022 № 13 </w:t>
      </w:r>
      <w:r>
        <w:rPr>
          <w:sz w:val="28"/>
          <w:szCs w:val="28"/>
        </w:rPr>
        <w:t xml:space="preserve">«Об утверждении Программ профилактики рисков причинения вреда (ущерба) охраняемым законом ценностям при осуществлении надзора в области регионального государственного строительно</w:t>
      </w:r>
      <w:r>
        <w:rPr>
          <w:sz w:val="28"/>
          <w:szCs w:val="28"/>
        </w:rPr>
        <w:t xml:space="preserve">го надзора и регионального государственного контроля (надзора) в области долевого строительства многоквартирных домов и (или) иных объектов недвижимости на 2023 год»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экспертиз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ЕАО </w:t>
      </w:r>
      <w:r>
        <w:rPr>
          <w:rFonts w:ascii="Times New Roman" w:hAnsi="Times New Roman"/>
          <w:sz w:val="28"/>
          <w:szCs w:val="28"/>
        </w:rPr>
        <w:t xml:space="preserve">положений, вводящих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избыточные обязанности, запреты и ограничения для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/>
          <w:sz w:val="28"/>
          <w:szCs w:val="28"/>
        </w:rPr>
        <w:t xml:space="preserve">и иной экономической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или положений, способствующих возникновению необоснованных расходов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инвестиционной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иной экономической деятельности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бюджета ЕАО, </w:t>
      </w:r>
      <w:r>
        <w:rPr>
          <w:rFonts w:ascii="Times New Roman" w:hAnsi="Times New Roman"/>
          <w:sz w:val="28"/>
          <w:szCs w:val="28"/>
        </w:rPr>
        <w:t xml:space="preserve">не выявлено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Приказ департамента сельского хозяйства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ЕАО </w:t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08.11.2022 № 27«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 ставки субсидии на возмещение части затрат, направленных на обеспечение прироста производства овощей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открытого грунта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 xml:space="preserve">экспертиз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нормативн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ЕАО </w:t>
      </w:r>
      <w:r>
        <w:rPr>
          <w:rFonts w:ascii="Times New Roman" w:hAnsi="Times New Roman"/>
          <w:sz w:val="28"/>
          <w:szCs w:val="28"/>
        </w:rPr>
        <w:t xml:space="preserve">положений, вводящих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избыточные обязанности, запреты и ограничения для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/>
          <w:sz w:val="28"/>
          <w:szCs w:val="28"/>
        </w:rPr>
        <w:t xml:space="preserve">и иной экономической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или положений, способствующих возникновению необоснованных расходов субъектов </w:t>
      </w:r>
      <w:r>
        <w:rPr>
          <w:rFonts w:ascii="Times New Roman" w:hAnsi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инвестиционной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иной экономической деятельности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и бюджета ЕАО, </w:t>
      </w:r>
      <w:r>
        <w:rPr>
          <w:rFonts w:ascii="Times New Roman" w:hAnsi="Times New Roman"/>
          <w:sz w:val="28"/>
          <w:szCs w:val="28"/>
        </w:rPr>
        <w:t xml:space="preserve">не выявлено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на постоянной основе осуществляется методическое обеспечение реализации процедур института ОРВ, консультации регулирующих органов. На Региональном портале размещен раздел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рекомендации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заполнению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сводных отчетов.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2023 году для удобства расчета выгод и издержек в результате введенного регулирования введен калькулятор ОРВ.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На оф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ициальном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информационном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портале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об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Оценке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регулирующего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воздействия (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ОРВ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) Министерства экономического развити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я Российской Федерации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года на систематической основе размещается информация о развитии процедуры оценки регулирующего воздействия в регионе.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популяризации института ОРВ среди представителей предпринимательского сообщества, в средствах массовой информации, организуются прямые эфиры при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экономики правительства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сбалансированности мнений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области, формируемых правительством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экспертного сообщества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коллегиальный совещательный орган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проведения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членами которого являются представители бизнеса, общественных организаций,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Уполномоченный по защите прав предпринимателей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Вышеуказанный экспертный совет создан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29.03.2019 № 72 «</w:t>
      </w:r>
      <w:r>
        <w:rPr>
          <w:rFonts w:ascii="Times New Roman" w:hAnsi="Times New Roman" w:cs="Times New Roman"/>
          <w:sz w:val="28"/>
          <w:szCs w:val="28"/>
        </w:rPr>
        <w:t xml:space="preserve">О создании Экспертного совета по вопросам проведения оценки регулирующего воздействия и экспертизы нормативных правовых актов Еврейской автономной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созданием экспертного совета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ЕАО </w:t>
      </w:r>
      <w:r>
        <w:rPr>
          <w:rFonts w:ascii="Times New Roman" w:hAnsi="Times New Roman" w:cs="Times New Roman"/>
          <w:sz w:val="28"/>
          <w:szCs w:val="28"/>
        </w:rPr>
        <w:t xml:space="preserve">активнее </w:t>
      </w:r>
      <w:r>
        <w:rPr>
          <w:rFonts w:ascii="Times New Roman" w:hAnsi="Times New Roman" w:cs="Times New Roman"/>
          <w:sz w:val="28"/>
          <w:szCs w:val="28"/>
        </w:rPr>
        <w:t xml:space="preserve">стали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в публичных обсуждениях проект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действующи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ах ЕАО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01 января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«Город Биробиджан»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нститут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 и 46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08.10.2014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575-ОЗ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риоритет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института ОРВ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ЕАО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введение нового интернат-портала проведения оценки регулирующего воздействия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ЕАО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regulation.eao.ru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уточнение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НПА в области ОРВ;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856"/>
        <w:ind w:left="0" w:righ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работа с управлением по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административной реформе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аппарата губернатора и правительства ЕАО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части разработки Порядков и  проведение процедуры оценки применения обязательных требований и процедуры оценки фактического воздействия нормативных правовых актов ЕАО;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етодическое и информационное обеспечение института ОРВ,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составления регулирующими органами сводного отчета;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вовлечение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ОМСУ</w:t>
      </w:r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ЕАО;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вовлеченности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ОРВ экспертов, в том числе общественных объединений,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Times New Roman CYR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04472502"/>
      <w:docPartObj>
        <w:docPartGallery w:val="Page Numbers (Top of Page)"/>
        <w:docPartUnique w:val="true"/>
      </w:docPartObj>
      <w:rPr/>
    </w:sdtPr>
    <w:sdtContent>
      <w:p>
        <w:pPr>
          <w:pStyle w:val="86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58"/>
    <w:link w:val="856"/>
    <w:uiPriority w:val="9"/>
    <w:rPr>
      <w:rFonts w:ascii="Arial" w:hAnsi="Arial" w:eastAsia="Arial" w:cs="Arial"/>
      <w:sz w:val="40"/>
      <w:szCs w:val="40"/>
    </w:rPr>
  </w:style>
  <w:style w:type="paragraph" w:styleId="685">
    <w:name w:val="Heading 2"/>
    <w:basedOn w:val="855"/>
    <w:next w:val="855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6">
    <w:name w:val="Heading 2 Char"/>
    <w:basedOn w:val="858"/>
    <w:link w:val="685"/>
    <w:uiPriority w:val="9"/>
    <w:rPr>
      <w:rFonts w:ascii="Arial" w:hAnsi="Arial" w:eastAsia="Arial" w:cs="Arial"/>
      <w:sz w:val="34"/>
    </w:rPr>
  </w:style>
  <w:style w:type="character" w:styleId="687">
    <w:name w:val="Heading 3 Char"/>
    <w:basedOn w:val="858"/>
    <w:link w:val="857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8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8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8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8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5"/>
    <w:next w:val="855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8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855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55"/>
    <w:next w:val="855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8"/>
    <w:link w:val="702"/>
    <w:uiPriority w:val="10"/>
    <w:rPr>
      <w:sz w:val="48"/>
      <w:szCs w:val="48"/>
    </w:rPr>
  </w:style>
  <w:style w:type="paragraph" w:styleId="704">
    <w:name w:val="Subtitle"/>
    <w:basedOn w:val="855"/>
    <w:next w:val="855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8"/>
    <w:link w:val="704"/>
    <w:uiPriority w:val="11"/>
    <w:rPr>
      <w:sz w:val="24"/>
      <w:szCs w:val="24"/>
    </w:rPr>
  </w:style>
  <w:style w:type="paragraph" w:styleId="706">
    <w:name w:val="Quote"/>
    <w:basedOn w:val="855"/>
    <w:next w:val="855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5"/>
    <w:next w:val="855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8"/>
    <w:link w:val="865"/>
    <w:uiPriority w:val="99"/>
  </w:style>
  <w:style w:type="character" w:styleId="711">
    <w:name w:val="Footer Char"/>
    <w:basedOn w:val="858"/>
    <w:link w:val="867"/>
    <w:uiPriority w:val="99"/>
  </w:style>
  <w:style w:type="character" w:styleId="712">
    <w:name w:val="Caption Char"/>
    <w:basedOn w:val="869"/>
    <w:link w:val="867"/>
    <w:uiPriority w:val="99"/>
  </w:style>
  <w:style w:type="table" w:styleId="713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8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8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paragraph" w:styleId="856">
    <w:name w:val="Heading 1"/>
    <w:basedOn w:val="855"/>
    <w:next w:val="855"/>
    <w:link w:val="871"/>
    <w:uiPriority w:val="99"/>
    <w:qFormat/>
    <w:pPr>
      <w:spacing w:after="0" w:line="240" w:lineRule="auto"/>
      <w:outlineLvl w:val="0"/>
    </w:pPr>
    <w:rPr>
      <w:rFonts w:ascii="Times New Roman CYR" w:hAnsi="Times New Roman CYR" w:eastAsia="Calibri" w:cs="Times New Roman"/>
      <w:sz w:val="24"/>
      <w:szCs w:val="24"/>
    </w:rPr>
  </w:style>
  <w:style w:type="paragraph" w:styleId="857">
    <w:name w:val="Heading 3"/>
    <w:basedOn w:val="855"/>
    <w:next w:val="855"/>
    <w:link w:val="87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2">
    <w:name w:val="Balloon Text"/>
    <w:basedOn w:val="855"/>
    <w:link w:val="8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858"/>
    <w:link w:val="862"/>
    <w:uiPriority w:val="99"/>
    <w:semiHidden/>
    <w:rPr>
      <w:rFonts w:ascii="Tahoma" w:hAnsi="Tahoma" w:cs="Tahoma"/>
      <w:sz w:val="16"/>
      <w:szCs w:val="16"/>
    </w:rPr>
  </w:style>
  <w:style w:type="character" w:styleId="864">
    <w:name w:val="Hyperlink"/>
    <w:basedOn w:val="858"/>
    <w:uiPriority w:val="99"/>
    <w:unhideWhenUsed/>
    <w:rPr>
      <w:color w:val="0000ff"/>
      <w:u w:val="single"/>
    </w:rPr>
  </w:style>
  <w:style w:type="paragraph" w:styleId="865">
    <w:name w:val="Header"/>
    <w:basedOn w:val="855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858"/>
    <w:link w:val="865"/>
    <w:uiPriority w:val="99"/>
  </w:style>
  <w:style w:type="paragraph" w:styleId="867">
    <w:name w:val="Footer"/>
    <w:basedOn w:val="855"/>
    <w:link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58"/>
    <w:link w:val="867"/>
    <w:uiPriority w:val="99"/>
  </w:style>
  <w:style w:type="paragraph" w:styleId="869">
    <w:name w:val="Caption"/>
    <w:basedOn w:val="855"/>
    <w:next w:val="855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870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1" w:customStyle="1">
    <w:name w:val="Заголовок 1 Знак"/>
    <w:basedOn w:val="858"/>
    <w:link w:val="856"/>
    <w:uiPriority w:val="99"/>
    <w:rPr>
      <w:rFonts w:ascii="Times New Roman CYR" w:hAnsi="Times New Roman CYR" w:eastAsia="Calibri" w:cs="Times New Roman"/>
      <w:sz w:val="24"/>
      <w:szCs w:val="24"/>
    </w:rPr>
  </w:style>
  <w:style w:type="character" w:styleId="872" w:customStyle="1">
    <w:name w:val="Заголовок 3 Знак"/>
    <w:basedOn w:val="858"/>
    <w:link w:val="85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73" w:customStyle="1">
    <w:name w:val="pt-a3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chart" Target="charts/chart1.xml" /><Relationship Id="rId13" Type="http://schemas.openxmlformats.org/officeDocument/2006/relationships/chart" Target="charts/chart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ru-RU" sz="1600" b="0">
                <a:latin typeface="Times New Roman"/>
                <a:cs typeface="Times New Roman"/>
              </a:rPr>
              <a:t>В рамках процедуры</a:t>
            </a:r>
            <a:r>
              <a:rPr lang="ru-RU" sz="1600" b="0">
                <a:latin typeface="Times New Roman"/>
                <a:cs typeface="Times New Roman"/>
              </a:rPr>
              <a:t> </a:t>
            </a:r>
            <a:r>
              <a:rPr lang="ru-RU" sz="1600" b="0">
                <a:latin typeface="Times New Roman"/>
                <a:cs typeface="Times New Roman"/>
              </a:rPr>
              <a:t>ОРВ за 2023 год </a:t>
            </a:r>
            <a:br>
              <a:rPr lang="ru-RU" sz="1600" b="0">
                <a:latin typeface="Times New Roman"/>
                <a:cs typeface="Times New Roman"/>
              </a:rPr>
            </a:br>
            <a:r>
              <a:rPr lang="ru-RU" sz="1600" b="0">
                <a:latin typeface="Times New Roman"/>
                <a:cs typeface="Times New Roman"/>
              </a:rPr>
              <a:t>в уполномоченный орган поступило 105</a:t>
            </a:r>
            <a:br>
              <a:rPr lang="ru-RU" sz="1600" b="0">
                <a:latin typeface="Times New Roman"/>
                <a:cs typeface="Times New Roman"/>
              </a:rPr>
            </a:br>
            <a:r>
              <a:rPr lang="ru-RU" sz="1600" b="0">
                <a:latin typeface="Times New Roman"/>
                <a:cs typeface="Times New Roman"/>
              </a:rPr>
              <a:t>проектов нормативных правовых  актов ЕАО из</a:t>
            </a:r>
            <a:r>
              <a:rPr lang="ru-RU" sz="1600" b="0">
                <a:latin typeface="Times New Roman"/>
                <a:cs typeface="Times New Roman"/>
              </a:rPr>
              <a:t> них:</a:t>
            </a:r>
            <a:endParaRPr lang="ru-RU" sz="1600" b="0"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44100"/>
          <c:y val="0.061666"/>
        </c:manualLayout>
      </c:layout>
      <c:overlay val="0"/>
    </c:title>
    <c:autoTitleDeleted val="0"/>
    <c:view3D>
      <c:rotX val="70"/>
      <c:rotY val="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836"/>
          <c:y val="0.188466"/>
          <c:w val="0.717898"/>
          <c:h val="0.7726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За 2022 год в уполномоченный органпоступило 125 проектов НПА ЕАО</c:v>
                </c:pt>
              </c:strCache>
            </c:strRef>
          </c:tx>
          <c:explosion val="25"/>
          <c:dPt>
            <c:idx val="0"/>
            <c:bubble3D val="0"/>
            <c:explosion val="14"/>
            <c:spPr bwMode="auto">
              <a:prstGeom prst="rect">
                <a:avLst/>
              </a:prstGeom>
              <a:solidFill>
                <a:srgbClr val="0070C0"/>
              </a:solidFill>
            </c:spPr>
          </c:dPt>
          <c:dPt>
            <c:idx val="1"/>
            <c:bubble3D val="0"/>
            <c:explosion val="39"/>
          </c:dPt>
          <c:dPt>
            <c:idx val="2"/>
            <c:bubble3D val="0"/>
            <c:explosion val="11"/>
          </c:dPt>
          <c:dPt>
            <c:idx val="3"/>
            <c:bubble3D val="0"/>
            <c:explosion val="0"/>
          </c:dPt>
          <c:dLbls>
            <c:dLbl>
              <c:idx val="0"/>
              <c:layout>
                <c:manualLayout>
                  <c:x val="0.113993"/>
                  <c:y val="-0.021910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69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-0.026990"/>
                  <c:y val="0.03773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-0.046980"/>
                  <c:y val="0.01345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</c:dLbl>
            <c:dLbl>
              <c:idx val="3"/>
              <c:layout>
                <c:manualLayout>
                  <c:x val="-0.025684"/>
                  <c:y val="-0.02909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32</a:t>
                    </a:r>
                    <a:endParaRPr lang="en-US"/>
                  </a:p>
                </c:rich>
              </c:tx>
            </c:dLbl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 sz="1800" b="1">
                    <a:latin typeface="Times New Roman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положительные заключения</c:v>
                </c:pt>
                <c:pt idx="1">
                  <c:v xml:space="preserve">отозвано регулирующим органом</c:v>
                </c:pt>
                <c:pt idx="2">
                  <c:v xml:space="preserve">отрицательные заключения </c:v>
                </c:pt>
                <c:pt idx="3">
                  <c:v xml:space="preserve">проекты НПА ЕАО не подлежащие  процедуре ОРВ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</c:v>
                </c:pt>
                <c:pt idx="2">
                  <c:v>7</c:v>
                </c:pt>
                <c:pt idx="3">
                  <c:v>32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0"/>
          <c:showSerName val="0"/>
          <c:showVal val="0"/>
        </c:dLbls>
      </c:pie3DChart>
      <c:spPr bwMode="auto">
        <a:effectLst>
          <a:outerShdw blurRad="50800" dist="2540000" dir="21540000" algn="ctr" rotWithShape="0">
            <a:srgbClr val="000000">
              <a:alpha val="0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0.000000"/>
          <c:y val="0.758261"/>
          <c:w val="0.797208"/>
          <c:h val="0.229141"/>
        </c:manualLayout>
      </c:layout>
      <c:overlay val="0"/>
      <c:txPr>
        <a:bodyPr/>
        <a:lstStyle/>
        <a:p>
          <a:pPr>
            <a:defRPr sz="1200">
              <a:latin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1">
                <a:solidFill>
                  <a:srgbClr val="C00000"/>
                </a:solidFill>
                <a:latin typeface="Times New Roman"/>
                <a:cs typeface="Times New Roman"/>
              </a:defRPr>
            </a:pPr>
            <a:r>
              <a:rPr lang="ru-RU" sz="1400" b="1" i="1">
                <a:solidFill>
                  <a:srgbClr val="C00000"/>
                </a:solidFill>
                <a:latin typeface="Times New Roman"/>
                <a:cs typeface="Times New Roman"/>
              </a:rPr>
              <a:t>Количество проектов </a:t>
            </a:r>
            <a:br>
              <a:rPr lang="ru-RU" sz="1400" b="1" i="1">
                <a:solidFill>
                  <a:srgbClr val="C00000"/>
                </a:solidFill>
                <a:latin typeface="Times New Roman"/>
                <a:cs typeface="Times New Roman"/>
              </a:rPr>
            </a:br>
            <a:r>
              <a:rPr lang="ru-RU" sz="1400" b="1" i="1">
                <a:solidFill>
                  <a:srgbClr val="C00000"/>
                </a:solidFill>
                <a:latin typeface="Times New Roman"/>
                <a:cs typeface="Times New Roman"/>
              </a:rPr>
              <a:t>нормативных правовых актов ЕАО в отношении которых проведена</a:t>
            </a:r>
            <a:r>
              <a:rPr lang="ru-RU" sz="1400" b="1" i="1">
                <a:solidFill>
                  <a:srgbClr val="C00000"/>
                </a:solidFill>
                <a:latin typeface="Times New Roman"/>
                <a:cs typeface="Times New Roman"/>
              </a:rPr>
              <a:t> процедура ОРВ</a:t>
            </a:r>
            <a:endParaRPr sz="1400" b="1" i="1">
              <a:solidFill>
                <a:srgbClr val="C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31120"/>
          <c:y val="0.019830"/>
        </c:manualLayout>
      </c:layout>
      <c:overlay val="0"/>
      <c:txPr>
        <a:bodyPr/>
        <a:p>
          <a:pPr>
            <a:defRPr sz="1400" b="1" i="1">
              <a:solidFill>
                <a:srgbClr val="C00000"/>
              </a:solidFill>
            </a:defRPr>
          </a:pPr>
          <a:endParaRPr/>
        </a:p>
      </c:txPr>
    </c:title>
    <c:autoTitleDeleted val="0"/>
    <c:plotArea>
      <c:layout>
        <c:manualLayout>
          <c:layoutTarget val="inner"/>
          <c:xMode val="edge"/>
          <c:yMode val="edge"/>
          <c:x val="0.508380"/>
          <c:y val="0.247080"/>
          <c:w val="0.373160"/>
          <c:h val="0.754100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 xml:space="preserve">Количество проектов нормативных правовых актов ЕАО в отношении которы проведена процедура ОРВ</c:v>
                </c:pt>
              </c:strCache>
            </c:strRef>
          </c:tx>
          <c:spPr bwMode="auto">
            <a:prstGeom prst="rect">
              <a:avLst/>
            </a:prstGeom>
            <a:solidFill>
              <a:srgbClr val="00B050"/>
            </a:solidFill>
            <a:effectLst>
              <a:glow rad="152400">
                <a:schemeClr val="accent1">
                  <a:alpha val="40000"/>
                </a:schemeClr>
              </a:glow>
              <a:outerShdw blurRad="50800" dist="50800" dir="5400000" algn="ctr" rotWithShape="0">
                <a:srgbClr val="000000">
                  <a:alpha val="66000"/>
                </a:srgbClr>
              </a:outerShdw>
            </a:effectLst>
          </c:spPr>
          <c:invertIfNegative val="0"/>
          <c:dLbls>
            <c:dLbl>
              <c:idx val="2"/>
              <c:dLblPos val="ctr"/>
              <c:delete val="0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</c:dLbl>
            <c:dLblPos val="ctr"/>
            <c:separator xml:space="preserve"> </c:separator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 sz="1100" b="1">
                    <a:latin typeface="Times New Roman"/>
                    <a:cs typeface="Times New Roman"/>
                  </a:defRPr>
                </a:pPr>
                <a:endParaRPr lang="ru-RU"/>
              </a:p>
            </c:txPr>
          </c:dLbls>
          <c:cat>
            <c:strRef>
              <c:f>'Лист1'!$A$2:$A$11</c:f>
              <c:strCache>
                <c:ptCount val="10"/>
                <c:pt idx="0">
                  <c:v xml:space="preserve">департамент  промышленности и сельского хозяйства</c:v>
                </c:pt>
                <c:pt idx="1">
                  <c:v xml:space="preserve">департамент экономики</c:v>
                </c:pt>
                <c:pt idx="2">
                  <c:v xml:space="preserve">департамент природных ресурсов</c:v>
                </c:pt>
                <c:pt idx="3">
                  <c:v xml:space="preserve">департамент по управлению государственным имуществом</c:v>
                </c:pt>
                <c:pt idx="4">
                  <c:v xml:space="preserve">Законодательное собрание</c:v>
                </c:pt>
                <c:pt idx="5">
                  <c:v xml:space="preserve">департамент по труду и занятости населения</c:v>
                </c:pt>
                <c:pt idx="6">
                  <c:v xml:space="preserve">государственная жилищная инспекция</c:v>
                </c:pt>
                <c:pt idx="7">
                  <c:v xml:space="preserve">инспекция Гостехнадзора</c:v>
                </c:pt>
                <c:pt idx="8">
                  <c:v xml:space="preserve">инспекция Госстройнадзора </c:v>
                </c:pt>
                <c:pt idx="9">
                  <c:v xml:space="preserve">департамент автомобильнх дорог и транспорта</c:v>
                </c:pt>
              </c:strCache>
            </c:strRef>
          </c:cat>
          <c:val>
            <c:numRef>
              <c:f>'Лист1'!$B$2:$B$11</c:f>
              <c:numCache>
                <c:formatCode>General</c:formatCode>
                <c:ptCount val="10"/>
                <c:pt idx="0">
                  <c:v>43</c:v>
                </c:pt>
                <c:pt idx="1">
                  <c:v>9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dLblPos val="ctr"/>
          <c:separator xml:space="preserve"> </c:separator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42"/>
        <c:overlap val="100"/>
        <c:axId val="1866169479"/>
        <c:axId val="1866169480"/>
      </c:barChart>
      <c:catAx>
        <c:axId val="186616947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ru-RU"/>
          </a:p>
        </c:txPr>
        <c:crossAx val="1866169480"/>
        <c:crosses val="autoZero"/>
        <c:auto val="1"/>
        <c:lblAlgn val="ctr"/>
        <c:lblOffset val="100"/>
        <c:tickMarkSkip val="1"/>
        <c:noMultiLvlLbl val="0"/>
      </c:catAx>
      <c:valAx>
        <c:axId val="1866169480"/>
        <c:scaling>
          <c:orientation val="minMax"/>
          <c:max val="51.000000"/>
        </c:scaling>
        <c:delete val="1"/>
        <c:axPos val="b"/>
        <c:numFmt formatCode="General" sourceLinked="1"/>
        <c:majorTickMark val="out"/>
        <c:minorTickMark val="none"/>
        <c:tickLblPos val="nextTo"/>
        <c:crossAx val="1866169479"/>
        <c:crosses val="autoZero"/>
        <c:crossBetween val="between"/>
      </c:valAx>
      <c:spPr bwMode="auto">
        <a:prstGeom prst="rect">
          <a:avLst/>
        </a:prstGeom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  <c:dispBlanksAs val="gap"/>
    <c:showDLblsOverMax val="0"/>
  </c:chart>
  <c:spPr bwMode="auto">
    <a:xfrm>
      <a:off x="0" y="0"/>
      <a:ext cx="9086870" cy="4211206"/>
    </a:xfrm>
    <a:prstGeom prst="rect">
      <a:avLst/>
    </a:prstGeom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69A4-5164-4A86-9ADE-43A0BD30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Экономика ЕАО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Косырев Андрей Александрович</dc:creator>
  <cp:keywords/>
  <dc:description/>
  <cp:revision>90</cp:revision>
  <dcterms:created xsi:type="dcterms:W3CDTF">2019-10-03T23:08:00Z</dcterms:created>
  <dcterms:modified xsi:type="dcterms:W3CDTF">2024-02-14T01:15:25Z</dcterms:modified>
</cp:coreProperties>
</file>