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95" w:rsidRPr="00765F94" w:rsidRDefault="00A83995" w:rsidP="00EA4F00">
      <w:pPr>
        <w:jc w:val="center"/>
        <w:rPr>
          <w:b/>
        </w:rPr>
      </w:pPr>
      <w:bookmarkStart w:id="0" w:name="_GoBack"/>
      <w:bookmarkEnd w:id="0"/>
      <w:r w:rsidRPr="00765F94">
        <w:rPr>
          <w:b/>
        </w:rPr>
        <w:t>Краткий о</w:t>
      </w:r>
      <w:r w:rsidR="00B0134B" w:rsidRPr="00765F94">
        <w:rPr>
          <w:b/>
        </w:rPr>
        <w:t xml:space="preserve">бзор результатов </w:t>
      </w:r>
      <w:r w:rsidRPr="00765F94">
        <w:rPr>
          <w:b/>
        </w:rPr>
        <w:t xml:space="preserve">ОРВ, экспертизы и ОФВ </w:t>
      </w:r>
    </w:p>
    <w:p w:rsidR="009358DD" w:rsidRPr="00765F94" w:rsidRDefault="00A83995" w:rsidP="00EA4F00">
      <w:pPr>
        <w:jc w:val="center"/>
        <w:rPr>
          <w:b/>
        </w:rPr>
      </w:pPr>
      <w:r w:rsidRPr="00765F94">
        <w:rPr>
          <w:b/>
        </w:rPr>
        <w:t xml:space="preserve">за </w:t>
      </w:r>
      <w:r w:rsidR="000E2E4E">
        <w:rPr>
          <w:b/>
        </w:rPr>
        <w:t>9 месяцев</w:t>
      </w:r>
      <w:r w:rsidR="007C6181" w:rsidRPr="00765F94">
        <w:rPr>
          <w:b/>
        </w:rPr>
        <w:t xml:space="preserve"> 2018 года</w:t>
      </w:r>
      <w:r w:rsidRPr="00765F94">
        <w:rPr>
          <w:b/>
        </w:rPr>
        <w:t xml:space="preserve"> </w:t>
      </w:r>
    </w:p>
    <w:p w:rsidR="00E942CB" w:rsidRPr="00765F94" w:rsidRDefault="00E942CB" w:rsidP="00FF4C33">
      <w:pPr>
        <w:spacing w:line="360" w:lineRule="auto"/>
      </w:pPr>
    </w:p>
    <w:p w:rsidR="008B3ED9" w:rsidRPr="00765F94" w:rsidRDefault="00E942CB" w:rsidP="00EA4F00">
      <w:pPr>
        <w:spacing w:line="312" w:lineRule="auto"/>
        <w:jc w:val="both"/>
        <w:rPr>
          <w:rFonts w:eastAsia="Times New Roman"/>
          <w:lang w:eastAsia="ru-RU"/>
        </w:rPr>
      </w:pPr>
      <w:r w:rsidRPr="00765F94">
        <w:tab/>
      </w:r>
      <w:r w:rsidR="008B3ED9" w:rsidRPr="00765F94">
        <w:rPr>
          <w:rFonts w:eastAsia="Times New Roman"/>
          <w:lang w:eastAsia="ru-RU"/>
        </w:rPr>
        <w:t>Департамент экономического развития Ханты-Мансийского автономного округа</w:t>
      </w:r>
      <w:r w:rsidR="00A83995" w:rsidRPr="00765F94">
        <w:rPr>
          <w:rFonts w:eastAsia="Times New Roman"/>
          <w:lang w:eastAsia="ru-RU"/>
        </w:rPr>
        <w:t xml:space="preserve"> – Югры </w:t>
      </w:r>
      <w:r w:rsidR="008B3ED9" w:rsidRPr="00765F94">
        <w:rPr>
          <w:rFonts w:eastAsia="Times New Roman"/>
          <w:lang w:eastAsia="ru-RU"/>
        </w:rPr>
        <w:t xml:space="preserve">подвел итоги проведения </w:t>
      </w:r>
      <w:r w:rsidR="001E452B" w:rsidRPr="00765F94">
        <w:rPr>
          <w:rFonts w:eastAsia="Times New Roman"/>
          <w:lang w:eastAsia="ru-RU"/>
        </w:rPr>
        <w:t>оценки регулирующего воздействия</w:t>
      </w:r>
      <w:r w:rsidR="008B3ED9" w:rsidRPr="00765F94">
        <w:rPr>
          <w:rFonts w:eastAsia="Times New Roman"/>
          <w:lang w:eastAsia="ru-RU"/>
        </w:rPr>
        <w:t xml:space="preserve">, экспертизы и </w:t>
      </w:r>
      <w:r w:rsidR="001E452B" w:rsidRPr="00765F94">
        <w:rPr>
          <w:rFonts w:eastAsia="Times New Roman"/>
          <w:lang w:eastAsia="ru-RU"/>
        </w:rPr>
        <w:t xml:space="preserve">оценки фактического воздействия </w:t>
      </w:r>
      <w:r w:rsidR="008B3ED9" w:rsidRPr="00765F94">
        <w:rPr>
          <w:rFonts w:eastAsia="Times New Roman"/>
          <w:lang w:eastAsia="ru-RU"/>
        </w:rPr>
        <w:t xml:space="preserve">за </w:t>
      </w:r>
      <w:r w:rsidR="00103F15">
        <w:rPr>
          <w:rFonts w:eastAsia="Times New Roman"/>
          <w:lang w:eastAsia="ru-RU"/>
        </w:rPr>
        <w:t>9 месяцев</w:t>
      </w:r>
      <w:r w:rsidR="00495412">
        <w:rPr>
          <w:rFonts w:eastAsia="Times New Roman"/>
          <w:lang w:eastAsia="ru-RU"/>
        </w:rPr>
        <w:t xml:space="preserve"> 2018 </w:t>
      </w:r>
      <w:r w:rsidR="008B3ED9" w:rsidRPr="00765F94">
        <w:rPr>
          <w:rFonts w:eastAsia="Times New Roman"/>
          <w:lang w:eastAsia="ru-RU"/>
        </w:rPr>
        <w:t>год</w:t>
      </w:r>
      <w:r w:rsidR="0050654E" w:rsidRPr="00765F94">
        <w:rPr>
          <w:rFonts w:eastAsia="Times New Roman"/>
          <w:lang w:eastAsia="ru-RU"/>
        </w:rPr>
        <w:t>а</w:t>
      </w:r>
      <w:r w:rsidR="008B3ED9" w:rsidRPr="00765F94">
        <w:rPr>
          <w:rFonts w:eastAsia="Times New Roman"/>
          <w:lang w:eastAsia="ru-RU"/>
        </w:rPr>
        <w:t>.</w:t>
      </w:r>
    </w:p>
    <w:p w:rsidR="0032489F" w:rsidRPr="00765F94" w:rsidRDefault="0032489F" w:rsidP="00EA4F00">
      <w:pPr>
        <w:spacing w:line="312" w:lineRule="auto"/>
        <w:jc w:val="both"/>
        <w:rPr>
          <w:rFonts w:eastAsia="Times New Roman"/>
          <w:lang w:eastAsia="ru-RU"/>
        </w:rPr>
      </w:pPr>
    </w:p>
    <w:p w:rsidR="00116D01" w:rsidRPr="00765F94" w:rsidRDefault="00116D01" w:rsidP="00EA4F0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b/>
          <w:lang w:eastAsia="ru-RU"/>
        </w:rPr>
        <w:t>Результаты проведения оценки регулирующего воздействия</w:t>
      </w:r>
      <w:r w:rsidRPr="00765F94">
        <w:rPr>
          <w:rFonts w:eastAsia="Times New Roman"/>
          <w:lang w:eastAsia="ru-RU"/>
        </w:rPr>
        <w:t xml:space="preserve">: </w:t>
      </w:r>
    </w:p>
    <w:p w:rsidR="008B3ED9" w:rsidRPr="00765F94" w:rsidRDefault="0049541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</w:t>
      </w:r>
      <w:r w:rsidR="00103F15">
        <w:rPr>
          <w:rFonts w:eastAsia="Times New Roman"/>
          <w:lang w:eastAsia="ru-RU"/>
        </w:rPr>
        <w:t>9 месяцев</w:t>
      </w:r>
      <w:r>
        <w:rPr>
          <w:rFonts w:eastAsia="Times New Roman"/>
          <w:lang w:eastAsia="ru-RU"/>
        </w:rPr>
        <w:t xml:space="preserve"> </w:t>
      </w:r>
      <w:r w:rsidR="007C6181" w:rsidRPr="00765F94">
        <w:rPr>
          <w:rFonts w:eastAsia="Times New Roman"/>
          <w:lang w:eastAsia="ru-RU"/>
        </w:rPr>
        <w:t>2018</w:t>
      </w:r>
      <w:r w:rsidR="00B75077" w:rsidRPr="00765F94">
        <w:rPr>
          <w:rFonts w:eastAsia="Times New Roman"/>
          <w:lang w:eastAsia="ru-RU"/>
        </w:rPr>
        <w:t xml:space="preserve"> года </w:t>
      </w:r>
      <w:r w:rsidR="00BA4B88" w:rsidRPr="00765F94">
        <w:rPr>
          <w:rFonts w:eastAsia="Times New Roman"/>
          <w:lang w:eastAsia="ru-RU"/>
        </w:rPr>
        <w:t xml:space="preserve">в Департамент экономического развития </w:t>
      </w:r>
      <w:r>
        <w:rPr>
          <w:rFonts w:eastAsia="Times New Roman"/>
          <w:lang w:eastAsia="ru-RU"/>
        </w:rPr>
        <w:br/>
      </w:r>
      <w:r w:rsidR="00BA4B88" w:rsidRPr="00765F94">
        <w:rPr>
          <w:rFonts w:eastAsia="Times New Roman"/>
          <w:lang w:eastAsia="ru-RU"/>
        </w:rPr>
        <w:t xml:space="preserve">Ханты-Мансийского автономного округа – Югры (далее – </w:t>
      </w:r>
      <w:r w:rsidR="004A2517" w:rsidRPr="00765F94">
        <w:rPr>
          <w:rFonts w:eastAsia="Times New Roman"/>
          <w:lang w:eastAsia="ru-RU"/>
        </w:rPr>
        <w:t xml:space="preserve">уполномоченный орган, </w:t>
      </w:r>
      <w:r w:rsidR="00BA4B88" w:rsidRPr="00765F94">
        <w:rPr>
          <w:rFonts w:eastAsia="Times New Roman"/>
          <w:lang w:eastAsia="ru-RU"/>
        </w:rPr>
        <w:t xml:space="preserve">автономный округ) для подготовки заключений об </w:t>
      </w:r>
      <w:r w:rsidR="001E452B" w:rsidRPr="00765F94">
        <w:rPr>
          <w:rFonts w:eastAsia="Times New Roman"/>
          <w:lang w:eastAsia="ru-RU"/>
        </w:rPr>
        <w:t xml:space="preserve">оценке регулирующего воздействия (далее – ОРВ) </w:t>
      </w:r>
      <w:r w:rsidR="00BA4B88" w:rsidRPr="00765F94">
        <w:rPr>
          <w:rFonts w:eastAsia="Times New Roman"/>
          <w:lang w:eastAsia="ru-RU"/>
        </w:rPr>
        <w:t xml:space="preserve">поступило </w:t>
      </w:r>
      <w:r w:rsidR="00274BFA">
        <w:rPr>
          <w:rFonts w:eastAsia="Times New Roman"/>
          <w:lang w:eastAsia="ru-RU"/>
        </w:rPr>
        <w:t>23</w:t>
      </w:r>
      <w:r w:rsidR="00373A9F" w:rsidRPr="00765F94">
        <w:rPr>
          <w:rFonts w:eastAsia="Times New Roman"/>
          <w:lang w:eastAsia="ru-RU"/>
        </w:rPr>
        <w:t xml:space="preserve"> проект</w:t>
      </w:r>
      <w:r w:rsidR="00274BFA">
        <w:rPr>
          <w:rFonts w:eastAsia="Times New Roman"/>
          <w:lang w:eastAsia="ru-RU"/>
        </w:rPr>
        <w:t>а</w:t>
      </w:r>
      <w:r w:rsidR="00373A9F" w:rsidRPr="00765F94">
        <w:rPr>
          <w:rFonts w:eastAsia="Times New Roman"/>
          <w:lang w:eastAsia="ru-RU"/>
        </w:rPr>
        <w:t xml:space="preserve"> </w:t>
      </w:r>
      <w:r w:rsidR="00BA4B88" w:rsidRPr="00765F94">
        <w:rPr>
          <w:rFonts w:eastAsia="Times New Roman"/>
          <w:lang w:eastAsia="ru-RU"/>
        </w:rPr>
        <w:t>нормативных правовых акт</w:t>
      </w:r>
      <w:r w:rsidR="00DF58B9">
        <w:rPr>
          <w:rFonts w:eastAsia="Times New Roman"/>
          <w:lang w:eastAsia="ru-RU"/>
        </w:rPr>
        <w:t>ов</w:t>
      </w:r>
      <w:r w:rsidR="00BA4B88" w:rsidRPr="00765F94">
        <w:rPr>
          <w:rFonts w:eastAsia="Times New Roman"/>
          <w:lang w:eastAsia="ru-RU"/>
        </w:rPr>
        <w:t xml:space="preserve"> (далее – НПА)</w:t>
      </w:r>
      <w:r w:rsidR="008B3ED9" w:rsidRPr="00765F94">
        <w:rPr>
          <w:rFonts w:eastAsia="Times New Roman"/>
          <w:lang w:eastAsia="ru-RU"/>
        </w:rPr>
        <w:t>.</w:t>
      </w:r>
      <w:r w:rsidR="00D85B04" w:rsidRPr="00765F94">
        <w:rPr>
          <w:rFonts w:eastAsia="Times New Roman"/>
          <w:lang w:eastAsia="ru-RU"/>
        </w:rPr>
        <w:t xml:space="preserve"> </w:t>
      </w:r>
    </w:p>
    <w:p w:rsidR="00CD59E1" w:rsidRDefault="00CD59E1" w:rsidP="00EA4F00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92526F" w:rsidRDefault="001E452B" w:rsidP="00EA4F00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  <w:r w:rsidRPr="00765F94">
        <w:rPr>
          <w:rFonts w:eastAsia="Times New Roman"/>
          <w:b/>
          <w:lang w:eastAsia="ru-RU"/>
        </w:rPr>
        <w:t xml:space="preserve">ОРВ проектов НПА </w:t>
      </w:r>
      <w:r w:rsidR="000E2E4E">
        <w:rPr>
          <w:rFonts w:eastAsia="Times New Roman"/>
          <w:b/>
          <w:lang w:eastAsia="ru-RU"/>
        </w:rPr>
        <w:t>за 9 месяцев</w:t>
      </w:r>
      <w:r w:rsidR="007C6181" w:rsidRPr="00765F94">
        <w:rPr>
          <w:rFonts w:eastAsia="Times New Roman"/>
          <w:b/>
          <w:lang w:eastAsia="ru-RU"/>
        </w:rPr>
        <w:t xml:space="preserve"> </w:t>
      </w:r>
      <w:r w:rsidRPr="00765F94">
        <w:rPr>
          <w:rFonts w:eastAsia="Times New Roman"/>
          <w:b/>
          <w:lang w:eastAsia="ru-RU"/>
        </w:rPr>
        <w:t>201</w:t>
      </w:r>
      <w:r w:rsidR="007C6181" w:rsidRPr="00765F94">
        <w:rPr>
          <w:rFonts w:eastAsia="Times New Roman"/>
          <w:b/>
          <w:lang w:eastAsia="ru-RU"/>
        </w:rPr>
        <w:t>8</w:t>
      </w:r>
      <w:r w:rsidRPr="00765F94">
        <w:rPr>
          <w:rFonts w:eastAsia="Times New Roman"/>
          <w:b/>
          <w:lang w:eastAsia="ru-RU"/>
        </w:rPr>
        <w:t xml:space="preserve"> год</w:t>
      </w:r>
      <w:r w:rsidR="007C6181" w:rsidRPr="00765F94">
        <w:rPr>
          <w:rFonts w:eastAsia="Times New Roman"/>
          <w:b/>
          <w:lang w:eastAsia="ru-RU"/>
        </w:rPr>
        <w:t>а</w:t>
      </w:r>
      <w:r w:rsidRPr="00765F94">
        <w:rPr>
          <w:rFonts w:eastAsia="Times New Roman"/>
          <w:b/>
          <w:lang w:eastAsia="ru-RU"/>
        </w:rPr>
        <w:t xml:space="preserve"> осуществляли</w:t>
      </w:r>
      <w:r w:rsidR="00D845A2">
        <w:rPr>
          <w:rFonts w:eastAsia="Times New Roman"/>
          <w:b/>
          <w:lang w:eastAsia="ru-RU"/>
        </w:rPr>
        <w:t>:</w:t>
      </w:r>
    </w:p>
    <w:p w:rsidR="00495412" w:rsidRDefault="00495412" w:rsidP="00EA4F00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95412" w:rsidRDefault="008A1ECA" w:rsidP="005C1CCC">
      <w:pPr>
        <w:shd w:val="clear" w:color="auto" w:fill="FFFFFF"/>
        <w:spacing w:line="312" w:lineRule="auto"/>
        <w:ind w:right="-11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44B3A52F" wp14:editId="3AD4D264">
            <wp:extent cx="6126480" cy="51892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773" w:rsidRDefault="00EF2855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На </w:t>
      </w:r>
      <w:r w:rsidR="009E647D">
        <w:rPr>
          <w:rFonts w:eastAsia="Times New Roman"/>
          <w:lang w:eastAsia="ru-RU"/>
        </w:rPr>
        <w:t>23</w:t>
      </w:r>
      <w:r w:rsidR="002C0E9A">
        <w:rPr>
          <w:rFonts w:eastAsia="Times New Roman"/>
          <w:lang w:eastAsia="ru-RU"/>
        </w:rPr>
        <w:t xml:space="preserve"> проект</w:t>
      </w:r>
      <w:r w:rsidR="009E647D">
        <w:rPr>
          <w:rFonts w:eastAsia="Times New Roman"/>
          <w:lang w:eastAsia="ru-RU"/>
        </w:rPr>
        <w:t>а</w:t>
      </w:r>
      <w:r w:rsidR="002C0E9A" w:rsidRPr="00765F94">
        <w:rPr>
          <w:rFonts w:eastAsia="Times New Roman"/>
          <w:lang w:eastAsia="ru-RU"/>
        </w:rPr>
        <w:t xml:space="preserve"> </w:t>
      </w:r>
      <w:r w:rsidR="002C0E9A">
        <w:rPr>
          <w:rFonts w:eastAsia="Times New Roman"/>
          <w:lang w:eastAsia="ru-RU"/>
        </w:rPr>
        <w:t>НПА уполномоченным органом</w:t>
      </w:r>
      <w:r w:rsidR="002C0E9A" w:rsidRPr="00765F94">
        <w:rPr>
          <w:rFonts w:eastAsia="Times New Roman"/>
          <w:lang w:eastAsia="ru-RU"/>
        </w:rPr>
        <w:t xml:space="preserve"> подготовлено </w:t>
      </w:r>
      <w:r>
        <w:rPr>
          <w:rFonts w:eastAsia="Times New Roman"/>
          <w:lang w:eastAsia="ru-RU"/>
        </w:rPr>
        <w:br/>
      </w:r>
      <w:r w:rsidR="008A4919">
        <w:rPr>
          <w:rFonts w:eastAsia="Times New Roman"/>
          <w:lang w:eastAsia="ru-RU"/>
        </w:rPr>
        <w:t>36 з</w:t>
      </w:r>
      <w:r w:rsidR="002C0E9A" w:rsidRPr="00765F94">
        <w:rPr>
          <w:rFonts w:eastAsia="Times New Roman"/>
          <w:lang w:eastAsia="ru-RU"/>
        </w:rPr>
        <w:t>аключений</w:t>
      </w:r>
      <w:r w:rsidR="00FD2773">
        <w:rPr>
          <w:rFonts w:eastAsia="Times New Roman"/>
          <w:lang w:eastAsia="ru-RU"/>
        </w:rPr>
        <w:t>, из них:</w:t>
      </w:r>
    </w:p>
    <w:p w:rsidR="00FD2773" w:rsidRDefault="00EF2855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8A4919">
        <w:rPr>
          <w:rFonts w:eastAsia="Times New Roman"/>
          <w:lang w:eastAsia="ru-RU"/>
        </w:rPr>
        <w:t xml:space="preserve">13 </w:t>
      </w:r>
      <w:r w:rsidR="00295756">
        <w:rPr>
          <w:rFonts w:eastAsia="Times New Roman"/>
          <w:lang w:eastAsia="ru-RU"/>
        </w:rPr>
        <w:t xml:space="preserve">положительных </w:t>
      </w:r>
      <w:r>
        <w:rPr>
          <w:rFonts w:eastAsia="Times New Roman"/>
          <w:lang w:eastAsia="ru-RU"/>
        </w:rPr>
        <w:t>заключений (</w:t>
      </w:r>
      <w:r w:rsidR="00A762BB">
        <w:rPr>
          <w:rFonts w:eastAsia="Times New Roman"/>
          <w:lang w:eastAsia="ru-RU"/>
        </w:rPr>
        <w:t>36</w:t>
      </w:r>
      <w:r w:rsidR="002C0E9A">
        <w:rPr>
          <w:rFonts w:eastAsia="Times New Roman"/>
          <w:lang w:eastAsia="ru-RU"/>
        </w:rPr>
        <w:t>%)</w:t>
      </w:r>
      <w:r w:rsidR="00FD2773">
        <w:rPr>
          <w:rFonts w:eastAsia="Times New Roman"/>
          <w:lang w:eastAsia="ru-RU"/>
        </w:rPr>
        <w:t>;</w:t>
      </w:r>
    </w:p>
    <w:p w:rsidR="002C0E9A" w:rsidRDefault="00EF2855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8A4919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 xml:space="preserve">отрицательных </w:t>
      </w:r>
      <w:r>
        <w:rPr>
          <w:rFonts w:eastAsia="Times New Roman"/>
          <w:lang w:eastAsia="ru-RU"/>
        </w:rPr>
        <w:t>заключени</w:t>
      </w:r>
      <w:r w:rsidR="00295756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(</w:t>
      </w:r>
      <w:r w:rsidR="00A762BB">
        <w:rPr>
          <w:rFonts w:eastAsia="Times New Roman"/>
          <w:lang w:eastAsia="ru-RU"/>
        </w:rPr>
        <w:t>64</w:t>
      </w:r>
      <w:r w:rsidR="00EF3C69">
        <w:rPr>
          <w:rFonts w:eastAsia="Times New Roman"/>
          <w:lang w:eastAsia="ru-RU"/>
        </w:rPr>
        <w:t>%)</w:t>
      </w:r>
      <w:r w:rsidR="00FD2773">
        <w:rPr>
          <w:rFonts w:eastAsia="Times New Roman"/>
          <w:lang w:eastAsia="ru-RU"/>
        </w:rPr>
        <w:t>.</w:t>
      </w:r>
    </w:p>
    <w:p w:rsidR="00FD2773" w:rsidRDefault="00FD2773" w:rsidP="00EA4F00">
      <w:pPr>
        <w:shd w:val="clear" w:color="auto" w:fill="FFFFFF"/>
        <w:spacing w:line="312" w:lineRule="auto"/>
        <w:ind w:firstLine="709"/>
        <w:jc w:val="center"/>
        <w:rPr>
          <w:b/>
        </w:rPr>
      </w:pPr>
    </w:p>
    <w:p w:rsidR="005A1795" w:rsidRDefault="00EA4F00" w:rsidP="005A1795">
      <w:pPr>
        <w:shd w:val="clear" w:color="auto" w:fill="FFFFFF"/>
        <w:spacing w:line="312" w:lineRule="auto"/>
        <w:jc w:val="center"/>
        <w:rPr>
          <w:b/>
          <w:noProof/>
          <w:lang w:eastAsia="ru-RU"/>
        </w:rPr>
      </w:pPr>
      <w:r w:rsidRPr="00765F94">
        <w:rPr>
          <w:b/>
        </w:rPr>
        <w:t xml:space="preserve">Количество заключений </w:t>
      </w:r>
      <w:r w:rsidR="00D845A2">
        <w:rPr>
          <w:b/>
        </w:rPr>
        <w:t>об</w:t>
      </w:r>
      <w:r w:rsidRPr="00765F94">
        <w:rPr>
          <w:b/>
        </w:rPr>
        <w:t xml:space="preserve"> </w:t>
      </w:r>
      <w:r>
        <w:rPr>
          <w:b/>
        </w:rPr>
        <w:t>ОРВ</w:t>
      </w:r>
      <w:r w:rsidR="00A762BB">
        <w:rPr>
          <w:b/>
          <w:noProof/>
          <w:lang w:eastAsia="ru-RU"/>
        </w:rPr>
        <w:t xml:space="preserve"> за 9 месяцев</w:t>
      </w:r>
      <w:r w:rsidRPr="00765F94">
        <w:rPr>
          <w:b/>
          <w:noProof/>
          <w:lang w:eastAsia="ru-RU"/>
        </w:rPr>
        <w:t xml:space="preserve"> 2018 года</w:t>
      </w:r>
      <w:r w:rsidR="00D845A2">
        <w:rPr>
          <w:b/>
          <w:noProof/>
          <w:lang w:eastAsia="ru-RU"/>
        </w:rPr>
        <w:t>:</w:t>
      </w:r>
    </w:p>
    <w:p w:rsidR="00CD59E1" w:rsidRDefault="005A1795" w:rsidP="005A1795">
      <w:pPr>
        <w:shd w:val="clear" w:color="auto" w:fill="FFFFFF"/>
        <w:spacing w:line="312" w:lineRule="auto"/>
        <w:jc w:val="center"/>
        <w:rPr>
          <w:b/>
          <w:noProof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94EDD24" wp14:editId="21867F74">
            <wp:extent cx="59817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59E1" w:rsidRDefault="00CD59E1" w:rsidP="00EA4F00">
      <w:pPr>
        <w:shd w:val="clear" w:color="auto" w:fill="FFFFFF"/>
        <w:spacing w:line="312" w:lineRule="auto"/>
        <w:ind w:firstLine="709"/>
        <w:jc w:val="center"/>
        <w:rPr>
          <w:b/>
          <w:noProof/>
          <w:lang w:eastAsia="ru-RU"/>
        </w:rPr>
      </w:pPr>
    </w:p>
    <w:p w:rsidR="008B3ED9" w:rsidRPr="00765F94" w:rsidRDefault="008B3ED9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Причинами отказа</w:t>
      </w:r>
      <w:r w:rsidR="001F6DFD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 xml:space="preserve">в согласовании </w:t>
      </w:r>
      <w:r w:rsidR="0089627F">
        <w:rPr>
          <w:rFonts w:eastAsia="Times New Roman"/>
          <w:lang w:eastAsia="ru-RU"/>
        </w:rPr>
        <w:t xml:space="preserve">проектов НПА </w:t>
      </w:r>
      <w:r w:rsidRPr="00765F94">
        <w:rPr>
          <w:rFonts w:eastAsia="Times New Roman"/>
          <w:lang w:eastAsia="ru-RU"/>
        </w:rPr>
        <w:t xml:space="preserve">послужили: </w:t>
      </w:r>
    </w:p>
    <w:p w:rsidR="000C2340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нарушения порядка проведения ОРВ;</w:t>
      </w:r>
    </w:p>
    <w:p w:rsidR="00697FB2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неоднозначная трактовка положений проекта;</w:t>
      </w:r>
    </w:p>
    <w:p w:rsidR="00697FB2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признаков непрозрачности административных процедур;</w:t>
      </w:r>
    </w:p>
    <w:p w:rsidR="00697FB2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неопределенной, двусмысленной терминологии;</w:t>
      </w:r>
    </w:p>
    <w:p w:rsidR="00697FB2" w:rsidRPr="00765F94" w:rsidRDefault="00697FB2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требований представления излишних документов;</w:t>
      </w:r>
    </w:p>
    <w:p w:rsidR="00697FB2" w:rsidRDefault="00697FB2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введение необоснованных ограничений для субъектов предпринимательской и инвестиционной деятельности. </w:t>
      </w:r>
    </w:p>
    <w:p w:rsidR="006D4107" w:rsidRDefault="006D4107" w:rsidP="006D4107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</w:p>
    <w:p w:rsidR="006D4107" w:rsidRDefault="006D4107" w:rsidP="006D4107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***</w:t>
      </w:r>
    </w:p>
    <w:p w:rsidR="006C0390" w:rsidRDefault="006C0390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Так, по результатам ОРВ проекта </w:t>
      </w:r>
      <w:r w:rsidR="00CB3AF2" w:rsidRPr="00CB3AF2">
        <w:t xml:space="preserve">постановления Правительства </w:t>
      </w:r>
      <w:r w:rsidR="00CB3AF2">
        <w:br/>
      </w:r>
      <w:r w:rsidR="00205E25">
        <w:t xml:space="preserve">автономного округа </w:t>
      </w:r>
      <w:r w:rsidR="00CB3AF2" w:rsidRPr="00CB3AF2">
        <w:t>«О внесении изменений в приложение к постановлению</w:t>
      </w:r>
      <w:r w:rsidR="00CB3AF2">
        <w:t xml:space="preserve"> Правительства </w:t>
      </w:r>
      <w:r w:rsidR="00CB3AF2" w:rsidRPr="00CB3AF2">
        <w:t>Ханты-Мансийского автономного округа – Югры от 9 октября 2013</w:t>
      </w:r>
      <w:r w:rsidR="00CB3AF2">
        <w:t xml:space="preserve"> года </w:t>
      </w:r>
      <w:r w:rsidR="00CB3AF2" w:rsidRPr="00CB3AF2">
        <w:t xml:space="preserve">№ 420-п «О государственной программе Ханты-Мансийского автономного округа – Югры «Развитие агропромышленного комплекса и рынков </w:t>
      </w:r>
      <w:r w:rsidR="00CB3AF2" w:rsidRPr="00CB3AF2">
        <w:lastRenderedPageBreak/>
        <w:t>сельскохозяйственной продукции, сырья и продовольствия в Ханты-Мансийском автономном округе – Югре на 2018-2025 годы и на период до 2030 года»</w:t>
      </w:r>
      <w:r w:rsidR="00725B42">
        <w:t xml:space="preserve"> Деппромышленности Югры</w:t>
      </w:r>
      <w:r w:rsidR="00205E25">
        <w:t xml:space="preserve"> </w:t>
      </w:r>
      <w:r w:rsidRPr="00765F94">
        <w:rPr>
          <w:rFonts w:eastAsia="Times New Roman"/>
          <w:lang w:eastAsia="ru-RU"/>
        </w:rPr>
        <w:t>указано на следующие недостатки:</w:t>
      </w:r>
    </w:p>
    <w:p w:rsidR="006C0390" w:rsidRDefault="00263FCD" w:rsidP="00725B42">
      <w:pPr>
        <w:pStyle w:val="a9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eastAsia="Times New Roman"/>
          <w:lang w:eastAsia="ru-RU"/>
        </w:rPr>
      </w:pPr>
      <w:r w:rsidRPr="00205E25">
        <w:rPr>
          <w:rFonts w:eastAsia="Times New Roman"/>
          <w:lang w:eastAsia="ru-RU"/>
        </w:rPr>
        <w:t>наличие замечаний к пояснительной записке и сводному отчету</w:t>
      </w:r>
      <w:r w:rsidR="006C0390" w:rsidRPr="00205E25">
        <w:rPr>
          <w:rFonts w:eastAsia="Times New Roman"/>
          <w:lang w:eastAsia="ru-RU"/>
        </w:rPr>
        <w:t>;</w:t>
      </w:r>
    </w:p>
    <w:p w:rsidR="00955BD9" w:rsidRPr="00955BD9" w:rsidRDefault="00955BD9" w:rsidP="00725B42">
      <w:pPr>
        <w:pStyle w:val="a9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eastAsia="Times New Roman"/>
          <w:lang w:eastAsia="ru-RU"/>
        </w:rPr>
      </w:pPr>
      <w:r w:rsidRPr="0071786C">
        <w:t>замечания к порядкам предоставления субсидий и грантов:</w:t>
      </w:r>
    </w:p>
    <w:p w:rsidR="00955BD9" w:rsidRPr="0071786C" w:rsidRDefault="00955BD9" w:rsidP="00725B42">
      <w:pPr>
        <w:pStyle w:val="ConsPlusTitle"/>
        <w:spacing w:line="312" w:lineRule="auto"/>
        <w:ind w:firstLine="709"/>
        <w:jc w:val="both"/>
        <w:rPr>
          <w:b w:val="0"/>
        </w:rPr>
      </w:pPr>
      <w:r w:rsidRPr="0071786C">
        <w:rPr>
          <w:b w:val="0"/>
        </w:rPr>
        <w:t>в качестве получателя субсидии излишне отдельно указаны общины коренных малочисленных народов Севера, поскольку они также являются юридическими лицами;</w:t>
      </w:r>
    </w:p>
    <w:p w:rsidR="00955BD9" w:rsidRPr="0071786C" w:rsidRDefault="00955BD9" w:rsidP="00F14685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>не установлены наименования документов, подтверждающих отсутствие просроченной задолженности по возврату в бюджет автономного округа субсидий и бюджетных инвестиций, а также факт отсутствия предоставления иных мер финансовой поддержки на цели, аналогичные цел</w:t>
      </w:r>
      <w:r w:rsidR="00F14685">
        <w:t>ям</w:t>
      </w:r>
      <w:r w:rsidRPr="0071786C">
        <w:t xml:space="preserve"> предоставления субсидии, не установлен источник получения указанных документов (истре</w:t>
      </w:r>
      <w:r>
        <w:t xml:space="preserve">бование у заявителя, получение </w:t>
      </w:r>
      <w:r w:rsidRPr="0071786C">
        <w:t>в порядке межведомственного и</w:t>
      </w:r>
      <w:r>
        <w:t>нформационного взаимодействия);</w:t>
      </w:r>
    </w:p>
    <w:p w:rsidR="00F14685" w:rsidRDefault="00955BD9" w:rsidP="00725B42">
      <w:pPr>
        <w:pStyle w:val="ConsPlusNormal"/>
        <w:spacing w:line="312" w:lineRule="auto"/>
        <w:ind w:firstLine="540"/>
        <w:jc w:val="both"/>
      </w:pPr>
      <w:r w:rsidRPr="0071786C">
        <w:tab/>
        <w:t>в перечне сведений, получаемых в порядке межведомственного информационного взаимодействия, некорректно указано наименование получателя налоговых платежей, а также наименование получаемых сведений</w:t>
      </w:r>
      <w:r w:rsidR="00F14685">
        <w:t>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ind w:firstLine="709"/>
        <w:jc w:val="both"/>
      </w:pPr>
      <w:r w:rsidRPr="0071786C">
        <w:t xml:space="preserve">не указаны требования к оформлению документов, представляемых через многофункциональный центр предоставления государственных </w:t>
      </w:r>
      <w:r>
        <w:br/>
      </w:r>
      <w:r w:rsidRPr="0071786C">
        <w:t>и муниципальных услуг и по электронным каналам связи;</w:t>
      </w:r>
    </w:p>
    <w:p w:rsidR="00C17584" w:rsidRDefault="00955BD9" w:rsidP="00725B42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>положения, устанавливающие обязанность Деппромышленности Югры проверять сведения, полученные в порядке межведомственного информационного взаимодействия, влекут излишние бюджетные расходы, поскольку указанные сведени</w:t>
      </w:r>
      <w:r w:rsidR="00D845A2">
        <w:t>я априори являются достоверными;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 xml:space="preserve">не указано на каком этапе и каким органом могут быть выявлены противоречия в сведениях, представленных получателем субсидии, а также сроки обращения Деппромышленности Югры к получателю субсидии </w:t>
      </w:r>
      <w:r w:rsidRPr="0071786C">
        <w:br/>
        <w:t>и в соответствующие государственные органы, органы местного самоуправления и организации;</w:t>
      </w:r>
    </w:p>
    <w:p w:rsidR="00C17584" w:rsidRDefault="00955BD9" w:rsidP="00725B42">
      <w:pPr>
        <w:pStyle w:val="ConsPlusNormal"/>
        <w:tabs>
          <w:tab w:val="left" w:pos="709"/>
        </w:tabs>
        <w:spacing w:line="312" w:lineRule="auto"/>
        <w:ind w:firstLine="540"/>
        <w:jc w:val="both"/>
      </w:pPr>
      <w:r w:rsidRPr="0071786C">
        <w:tab/>
        <w:t xml:space="preserve">положения, регулирующие сроки предоставления субсидий  </w:t>
      </w:r>
      <w:r w:rsidRPr="0071786C">
        <w:br/>
        <w:t>не соотносятся друг с другом</w:t>
      </w:r>
      <w:r w:rsidR="00C17584">
        <w:t>;</w:t>
      </w:r>
    </w:p>
    <w:p w:rsidR="00C17584" w:rsidRDefault="00955BD9" w:rsidP="00725B42">
      <w:pPr>
        <w:pStyle w:val="ConsPlusNormal"/>
        <w:spacing w:line="312" w:lineRule="auto"/>
        <w:ind w:firstLine="709"/>
        <w:jc w:val="both"/>
      </w:pPr>
      <w:r w:rsidRPr="0071786C">
        <w:t>в связи с тем, что установленные порядками способы передачи получателю субсидии соглашения о ее предоставлении</w:t>
      </w:r>
      <w:r>
        <w:t xml:space="preserve"> </w:t>
      </w:r>
      <w:r w:rsidRPr="0071786C">
        <w:t xml:space="preserve">не предусматривают подтверждение </w:t>
      </w:r>
      <w:r w:rsidRPr="0071786C">
        <w:lastRenderedPageBreak/>
        <w:t>его получения, применение положения о признании получателя субсидии уклонившимся</w:t>
      </w:r>
      <w:r>
        <w:t xml:space="preserve"> </w:t>
      </w:r>
      <w:r w:rsidRPr="0071786C">
        <w:t>от ее получения неприменимы</w:t>
      </w:r>
      <w:r w:rsidR="00C17584">
        <w:t>;</w:t>
      </w:r>
    </w:p>
    <w:p w:rsidR="00955BD9" w:rsidRDefault="00955BD9" w:rsidP="00725B42">
      <w:pPr>
        <w:pStyle w:val="ConsPlusNormal"/>
        <w:spacing w:line="312" w:lineRule="auto"/>
        <w:ind w:firstLine="709"/>
        <w:jc w:val="both"/>
      </w:pPr>
      <w:r w:rsidRPr="0071786C">
        <w:t>не указан способ направления уведомления об отка</w:t>
      </w:r>
      <w:r w:rsidR="00725B42">
        <w:t xml:space="preserve">зе </w:t>
      </w:r>
      <w:r w:rsidR="00EF2855">
        <w:t>в предоставлении субсидии.</w:t>
      </w:r>
    </w:p>
    <w:p w:rsidR="006D4107" w:rsidRDefault="006D4107" w:rsidP="006D4107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***</w:t>
      </w:r>
    </w:p>
    <w:p w:rsidR="00545A4E" w:rsidRDefault="00545A4E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По результатам ОРВ проекта закона </w:t>
      </w:r>
      <w:r w:rsidR="0032489F" w:rsidRPr="00765F94">
        <w:rPr>
          <w:rFonts w:eastAsia="Times New Roman"/>
          <w:lang w:eastAsia="ru-RU"/>
        </w:rPr>
        <w:t xml:space="preserve">автономного округа </w:t>
      </w:r>
      <w:r w:rsidRPr="00765F94">
        <w:rPr>
          <w:rFonts w:eastAsia="Times New Roman"/>
          <w:lang w:eastAsia="ru-RU"/>
        </w:rPr>
        <w:t>«Об</w:t>
      </w:r>
      <w:r w:rsidR="0032489F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 xml:space="preserve">установлении ограничений использования и продажи электронных систем доставки никотина на территории Ханты-Мансийского автономного </w:t>
      </w:r>
      <w:r w:rsidR="00ED674C">
        <w:rPr>
          <w:rFonts w:eastAsia="Times New Roman"/>
          <w:lang w:eastAsia="ru-RU"/>
        </w:rPr>
        <w:br/>
      </w:r>
      <w:r w:rsidRPr="00765F94">
        <w:rPr>
          <w:rFonts w:eastAsia="Times New Roman"/>
          <w:lang w:eastAsia="ru-RU"/>
        </w:rPr>
        <w:t>округа – Югры и о внесении изменений в Закон Ханты-Мансийского автономного округа – Югры «Об</w:t>
      </w:r>
      <w:r w:rsidR="0032489F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>административных правонарушениях» уполномоченным органом вынесено отрицательное заключение по причине нарушения порядка пров</w:t>
      </w:r>
      <w:r w:rsidR="00725B42">
        <w:rPr>
          <w:rFonts w:eastAsia="Times New Roman"/>
          <w:lang w:eastAsia="ru-RU"/>
        </w:rPr>
        <w:t xml:space="preserve">едения процедуры ОРВ, а </w:t>
      </w:r>
      <w:r w:rsidR="00407E73">
        <w:rPr>
          <w:rFonts w:eastAsia="Times New Roman"/>
          <w:lang w:eastAsia="ru-RU"/>
        </w:rPr>
        <w:t xml:space="preserve">именно </w:t>
      </w:r>
      <w:r w:rsidRPr="00765F94">
        <w:rPr>
          <w:rFonts w:eastAsia="Times New Roman"/>
          <w:lang w:eastAsia="ru-RU"/>
        </w:rPr>
        <w:t>не урегулирован</w:t>
      </w:r>
      <w:r w:rsidR="00407E73">
        <w:rPr>
          <w:rFonts w:eastAsia="Times New Roman"/>
          <w:lang w:eastAsia="ru-RU"/>
        </w:rPr>
        <w:t>ия</w:t>
      </w:r>
      <w:r w:rsidRPr="00765F94">
        <w:rPr>
          <w:rFonts w:eastAsia="Times New Roman"/>
          <w:lang w:eastAsia="ru-RU"/>
        </w:rPr>
        <w:t xml:space="preserve"> разноглас</w:t>
      </w:r>
      <w:r w:rsidR="00407E73">
        <w:rPr>
          <w:rFonts w:eastAsia="Times New Roman"/>
          <w:lang w:eastAsia="ru-RU"/>
        </w:rPr>
        <w:t>ий</w:t>
      </w:r>
      <w:r w:rsidRPr="00765F94">
        <w:rPr>
          <w:rFonts w:eastAsia="Times New Roman"/>
          <w:lang w:eastAsia="ru-RU"/>
        </w:rPr>
        <w:t xml:space="preserve"> с</w:t>
      </w:r>
      <w:r w:rsidR="0032489F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участниками публичных консультаций.</w:t>
      </w:r>
    </w:p>
    <w:p w:rsidR="006D4107" w:rsidRDefault="006D4107" w:rsidP="006D4107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</w:p>
    <w:p w:rsidR="006D4107" w:rsidRDefault="006D4107" w:rsidP="006D4107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***</w:t>
      </w:r>
    </w:p>
    <w:p w:rsidR="00296E4F" w:rsidRDefault="00A56C01" w:rsidP="00296E4F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26310E" w:rsidRPr="00765F94">
        <w:rPr>
          <w:rFonts w:eastAsia="Times New Roman"/>
          <w:lang w:eastAsia="ru-RU"/>
        </w:rPr>
        <w:t xml:space="preserve">о результатам ОРВ </w:t>
      </w:r>
      <w:r w:rsidR="00D955C2" w:rsidRPr="00D955C2">
        <w:rPr>
          <w:rFonts w:eastAsia="Times New Roman"/>
          <w:lang w:eastAsia="ru-RU"/>
        </w:rPr>
        <w:t xml:space="preserve">проекта постановления Правительства автономного округа «О внесении изменений в приложение к постановлению Правительства Ханты-Мансийского автономного округа – Югры от 3 октября 2013 года </w:t>
      </w:r>
      <w:r w:rsidR="00DF58B9">
        <w:rPr>
          <w:rFonts w:eastAsia="Times New Roman"/>
          <w:lang w:eastAsia="ru-RU"/>
        </w:rPr>
        <w:br/>
      </w:r>
      <w:r w:rsidR="00D955C2" w:rsidRPr="00D955C2">
        <w:rPr>
          <w:rFonts w:eastAsia="Times New Roman"/>
          <w:lang w:eastAsia="ru-RU"/>
        </w:rPr>
        <w:t xml:space="preserve">№ 398-п «О государственной программе Ханты-Мансийского автономного округа – Югры «Социально-экономическое развитие коренных малочисленных народов Севера Ханты-Мансийского автономного округа – Югры </w:t>
      </w:r>
      <w:r w:rsidR="00DF58B9">
        <w:rPr>
          <w:rFonts w:eastAsia="Times New Roman"/>
          <w:lang w:eastAsia="ru-RU"/>
        </w:rPr>
        <w:br/>
      </w:r>
      <w:r w:rsidR="00D955C2" w:rsidRPr="00D955C2">
        <w:rPr>
          <w:rFonts w:eastAsia="Times New Roman"/>
          <w:lang w:eastAsia="ru-RU"/>
        </w:rPr>
        <w:t>на 2018-2025 годы и на период до 2030 года»</w:t>
      </w:r>
      <w:r w:rsidR="00D955C2">
        <w:rPr>
          <w:rFonts w:eastAsia="Times New Roman"/>
          <w:lang w:eastAsia="ru-RU"/>
        </w:rPr>
        <w:t xml:space="preserve"> </w:t>
      </w:r>
      <w:r w:rsidR="00FF4076" w:rsidRPr="00FF4076">
        <w:t>Деп</w:t>
      </w:r>
      <w:r w:rsidR="00550379">
        <w:t>недра</w:t>
      </w:r>
      <w:r w:rsidR="00FF4076" w:rsidRPr="00FF4076">
        <w:t xml:space="preserve"> и природных ресурсов</w:t>
      </w:r>
      <w:r w:rsidR="00D955C2">
        <w:t xml:space="preserve"> Югры </w:t>
      </w:r>
      <w:r w:rsidR="00D955C2" w:rsidRPr="00765F94">
        <w:rPr>
          <w:rFonts w:eastAsia="Times New Roman"/>
          <w:lang w:eastAsia="ru-RU"/>
        </w:rPr>
        <w:t>указано на следующие недостатки:</w:t>
      </w:r>
    </w:p>
    <w:p w:rsidR="00296E4F" w:rsidRDefault="00296E4F" w:rsidP="00296E4F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="00D955C2" w:rsidRPr="00296E4F">
        <w:rPr>
          <w:rFonts w:eastAsia="Times New Roman"/>
          <w:lang w:eastAsia="ru-RU"/>
        </w:rPr>
        <w:t xml:space="preserve">наличие замечаний к </w:t>
      </w:r>
      <w:r w:rsidRPr="00296E4F">
        <w:rPr>
          <w:rFonts w:eastAsia="Times New Roman"/>
          <w:lang w:eastAsia="ru-RU"/>
        </w:rPr>
        <w:t>процедуре проведения</w:t>
      </w:r>
      <w:r w:rsidR="00D955C2" w:rsidRPr="00296E4F">
        <w:rPr>
          <w:rFonts w:eastAsia="Times New Roman"/>
          <w:lang w:eastAsia="ru-RU"/>
        </w:rPr>
        <w:t xml:space="preserve"> ОРВ</w:t>
      </w:r>
      <w:r w:rsidRPr="00296E4F">
        <w:rPr>
          <w:rFonts w:eastAsia="Times New Roman"/>
          <w:lang w:eastAsia="ru-RU"/>
        </w:rPr>
        <w:t>;</w:t>
      </w:r>
    </w:p>
    <w:p w:rsidR="00296E4F" w:rsidRDefault="00296E4F" w:rsidP="00296E4F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Pr="00296E4F">
        <w:rPr>
          <w:rFonts w:eastAsia="Times New Roman"/>
          <w:lang w:eastAsia="ru-RU"/>
        </w:rPr>
        <w:t>наличие замечаний к пояснительной записке и сводному отчету;</w:t>
      </w:r>
    </w:p>
    <w:p w:rsidR="00D955C2" w:rsidRPr="00296E4F" w:rsidRDefault="00296E4F" w:rsidP="00296E4F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в порядке</w:t>
      </w:r>
      <w:r w:rsidR="00E40F76" w:rsidRPr="00296E4F">
        <w:rPr>
          <w:rFonts w:eastAsia="Times New Roman"/>
          <w:lang w:eastAsia="ru-RU"/>
        </w:rPr>
        <w:t xml:space="preserve"> предоставления грантов </w:t>
      </w:r>
      <w:r w:rsidR="00D955C2" w:rsidRPr="00296E4F">
        <w:rPr>
          <w:rFonts w:eastAsia="Times New Roman"/>
          <w:lang w:eastAsia="ru-RU"/>
        </w:rPr>
        <w:t>выявлены положения, препятствующие осуществлению предпринимательской деятельности и влекущие необоснованные расходы субъектов предпринимательской деятельнос</w:t>
      </w:r>
      <w:r w:rsidR="00BC39F9">
        <w:rPr>
          <w:rFonts w:eastAsia="Times New Roman"/>
          <w:lang w:eastAsia="ru-RU"/>
        </w:rPr>
        <w:t>ти и бюджета автономного округа, в том числе:</w:t>
      </w:r>
    </w:p>
    <w:p w:rsidR="00D955C2" w:rsidRPr="00D955C2" w:rsidRDefault="00D955C2" w:rsidP="00D955C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D955C2">
        <w:rPr>
          <w:rFonts w:eastAsia="Times New Roman"/>
          <w:lang w:eastAsia="ru-RU"/>
        </w:rPr>
        <w:t>не указаны порядок, пропорциональность распределения средств гранта между участниками, набравшими одинаковое количество баллов в соответствующей номинации;</w:t>
      </w:r>
    </w:p>
    <w:p w:rsidR="00D955C2" w:rsidRPr="00D955C2" w:rsidRDefault="00D955C2" w:rsidP="00D955C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D955C2">
        <w:rPr>
          <w:rFonts w:eastAsia="Times New Roman"/>
          <w:lang w:eastAsia="ru-RU"/>
        </w:rPr>
        <w:t>отсутствует подтверждение соблюдения участником конкурса такого условия, как софинансировани</w:t>
      </w:r>
      <w:r w:rsidR="003228EA">
        <w:rPr>
          <w:rFonts w:eastAsia="Times New Roman"/>
          <w:lang w:eastAsia="ru-RU"/>
        </w:rPr>
        <w:t>е</w:t>
      </w:r>
      <w:r w:rsidRPr="00D955C2">
        <w:rPr>
          <w:rFonts w:eastAsia="Times New Roman"/>
          <w:lang w:eastAsia="ru-RU"/>
        </w:rPr>
        <w:t xml:space="preserve"> проекта в размере не менее 5% </w:t>
      </w:r>
      <w:r w:rsidR="00F17D0F">
        <w:rPr>
          <w:rFonts w:eastAsia="Times New Roman"/>
          <w:lang w:eastAsia="ru-RU"/>
        </w:rPr>
        <w:br/>
      </w:r>
      <w:r w:rsidRPr="00D955C2">
        <w:rPr>
          <w:rFonts w:eastAsia="Times New Roman"/>
          <w:lang w:eastAsia="ru-RU"/>
        </w:rPr>
        <w:t>от запрашиваемой суммы;</w:t>
      </w:r>
    </w:p>
    <w:p w:rsidR="00D955C2" w:rsidRPr="00D955C2" w:rsidRDefault="00D955C2" w:rsidP="00D955C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D955C2">
        <w:rPr>
          <w:rFonts w:eastAsia="Times New Roman"/>
          <w:lang w:eastAsia="ru-RU"/>
        </w:rPr>
        <w:lastRenderedPageBreak/>
        <w:t xml:space="preserve">не указан порядок проверки получателей гранта </w:t>
      </w:r>
      <w:r w:rsidR="00BC39F9">
        <w:rPr>
          <w:rFonts w:eastAsia="Times New Roman"/>
          <w:lang w:eastAsia="ru-RU"/>
        </w:rPr>
        <w:t>на предмет</w:t>
      </w:r>
      <w:r w:rsidRPr="00D955C2">
        <w:rPr>
          <w:rFonts w:eastAsia="Times New Roman"/>
          <w:lang w:eastAsia="ru-RU"/>
        </w:rPr>
        <w:t xml:space="preserve"> нахождени</w:t>
      </w:r>
      <w:r w:rsidR="00BC39F9">
        <w:rPr>
          <w:rFonts w:eastAsia="Times New Roman"/>
          <w:lang w:eastAsia="ru-RU"/>
        </w:rPr>
        <w:t>я</w:t>
      </w:r>
      <w:r w:rsidRPr="00D955C2">
        <w:rPr>
          <w:rFonts w:eastAsia="Times New Roman"/>
          <w:lang w:eastAsia="ru-RU"/>
        </w:rPr>
        <w:t xml:space="preserve"> их в стадии ликвидации, реорганизации или банкротства, а также отсутстви</w:t>
      </w:r>
      <w:r w:rsidR="00BC39F9">
        <w:rPr>
          <w:rFonts w:eastAsia="Times New Roman"/>
          <w:lang w:eastAsia="ru-RU"/>
        </w:rPr>
        <w:t>я</w:t>
      </w:r>
      <w:r w:rsidRPr="00D955C2">
        <w:rPr>
          <w:rFonts w:eastAsia="Times New Roman"/>
          <w:lang w:eastAsia="ru-RU"/>
        </w:rPr>
        <w:t xml:space="preserve"> действующего решения уполномоченного органа (органа юстиции, прокуратуры, суда) о приостановлении деятельности организации;</w:t>
      </w:r>
    </w:p>
    <w:p w:rsidR="006A282C" w:rsidRDefault="00D955C2" w:rsidP="006A282C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D955C2">
        <w:rPr>
          <w:rFonts w:eastAsia="Times New Roman"/>
          <w:lang w:eastAsia="ru-RU"/>
        </w:rPr>
        <w:t xml:space="preserve">не установлены сроки принятия решения о победителях конкурса </w:t>
      </w:r>
      <w:r w:rsidR="00BC39F9">
        <w:rPr>
          <w:rFonts w:eastAsia="Times New Roman"/>
          <w:lang w:eastAsia="ru-RU"/>
        </w:rPr>
        <w:br/>
      </w:r>
      <w:r w:rsidRPr="00D955C2">
        <w:rPr>
          <w:rFonts w:eastAsia="Times New Roman"/>
          <w:lang w:eastAsia="ru-RU"/>
        </w:rPr>
        <w:t>и перераспределении гранта между номинациями.</w:t>
      </w:r>
    </w:p>
    <w:p w:rsidR="003228EA" w:rsidRDefault="003228EA" w:rsidP="003228EA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</w:p>
    <w:p w:rsidR="003228EA" w:rsidRDefault="003228EA" w:rsidP="003228EA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***</w:t>
      </w:r>
    </w:p>
    <w:p w:rsidR="00547AE9" w:rsidRDefault="003228EA" w:rsidP="00547AE9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765F94">
        <w:rPr>
          <w:rFonts w:eastAsia="Times New Roman"/>
          <w:lang w:eastAsia="ru-RU"/>
        </w:rPr>
        <w:t xml:space="preserve">о результатам ОРВ </w:t>
      </w:r>
      <w:r w:rsidR="006A282C" w:rsidRPr="00A45C14">
        <w:rPr>
          <w:rFonts w:eastAsia="Times New Roman"/>
          <w:lang w:eastAsia="ru-RU"/>
        </w:rPr>
        <w:t xml:space="preserve">проекта </w:t>
      </w:r>
      <w:r w:rsidR="006A282C">
        <w:rPr>
          <w:rFonts w:eastAsia="Times New Roman"/>
          <w:lang w:eastAsia="ru-RU"/>
        </w:rPr>
        <w:t xml:space="preserve">постановления Правительства </w:t>
      </w:r>
      <w:r w:rsidR="006A282C">
        <w:rPr>
          <w:rFonts w:eastAsia="Times New Roman"/>
          <w:color w:val="000000"/>
          <w:lang w:eastAsia="ru-RU"/>
        </w:rPr>
        <w:t xml:space="preserve">автономного округа </w:t>
      </w:r>
      <w:r w:rsidR="006A282C">
        <w:rPr>
          <w:rFonts w:eastAsia="Times New Roman"/>
          <w:bCs/>
          <w:lang w:eastAsia="ru-RU"/>
        </w:rPr>
        <w:t>«О внесении изменений в некоторые постановления Правительства Ханты-Мансийского автономного округа – Югры»</w:t>
      </w:r>
      <w:r w:rsidR="00547AE9" w:rsidRPr="00547AE9">
        <w:t xml:space="preserve"> </w:t>
      </w:r>
      <w:r w:rsidR="00547AE9" w:rsidRPr="00FF4076">
        <w:t>Деп</w:t>
      </w:r>
      <w:r w:rsidR="00547AE9">
        <w:t>со</w:t>
      </w:r>
      <w:r w:rsidR="00E816E2">
        <w:t>ц</w:t>
      </w:r>
      <w:r w:rsidR="00547AE9">
        <w:t xml:space="preserve">развития Югры </w:t>
      </w:r>
      <w:r w:rsidR="00547AE9" w:rsidRPr="00765F94">
        <w:rPr>
          <w:rFonts w:eastAsia="Times New Roman"/>
          <w:lang w:eastAsia="ru-RU"/>
        </w:rPr>
        <w:t>указано на следующие недостатки: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 xml:space="preserve">не указан порядок проверки получателей субсидии </w:t>
      </w:r>
      <w:r w:rsidR="00C241B9">
        <w:t xml:space="preserve">на предмет </w:t>
      </w:r>
      <w:r w:rsidRPr="006A282C">
        <w:t>нахождени</w:t>
      </w:r>
      <w:r w:rsidR="00C241B9">
        <w:t>я</w:t>
      </w:r>
      <w:r w:rsidRPr="006A282C">
        <w:t xml:space="preserve"> их в стадии ликвидации, реорганизации или банкротства, а также отсутстви</w:t>
      </w:r>
      <w:r w:rsidR="00C241B9">
        <w:t>я</w:t>
      </w:r>
      <w:r w:rsidRPr="006A282C">
        <w:t xml:space="preserve"> действующего решения уполномоченного органа о приостановлении деятельности организации;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>требование материалов, подтверждающих наличие общедоступных информационных ресурсов о деятельности поставщика социальных</w:t>
      </w:r>
      <w:r w:rsidR="00550379">
        <w:t xml:space="preserve"> услуг</w:t>
      </w:r>
      <w:r w:rsidRPr="006A282C">
        <w:t>, повлечет дополнительные расходы субъектов предпринимательской деятельности на изготовление брошюр, создание и поддержку официальных сайтов в информационно-телекоммуникационной сети Интернет;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>необоснованно требование от поставщика социальных услуг документа, подтверждающего наличие статуса исполнителя общественно полезных услуг;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 xml:space="preserve">отсутствует порядок уведомления в случае подачи документов </w:t>
      </w:r>
      <w:r w:rsidRPr="006A282C">
        <w:br/>
        <w:t>на участие в конкурсном отборе только одним поставщиком социальных услуг;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 xml:space="preserve">отсутствует порядок заключения соглашения о предоставлении субсидии </w:t>
      </w:r>
      <w:r w:rsidR="00C241B9">
        <w:br/>
      </w:r>
      <w:r w:rsidRPr="006A282C">
        <w:t>с победителем конкурсного отбора;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 xml:space="preserve">необоснованно требование от получателя социальных услуг оригинала выписки (справки) из банка об отсутствии расчетных документов, принятых банком, но неоплаченных из-за недостаточности средств на счете получателя субсидии, а также об отсутствии ограничений на распоряжение счетом </w:t>
      </w:r>
      <w:r w:rsidR="00C241B9">
        <w:br/>
      </w:r>
      <w:r w:rsidRPr="006A282C">
        <w:t>с указанием его банковских реквизитов;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lastRenderedPageBreak/>
        <w:t>критерий об опыте работы руководителя организации вводит необоснованные ограничения для субъектов предпринимательской деятельности на получение субсидии, при этом отсутствуют такие критерии, как наличие необходимого оборудования, помещения для оказания социальных услуг и т.д.;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 xml:space="preserve">необоснованно установлена оценка поставщика социальных услуг </w:t>
      </w:r>
      <w:r w:rsidR="00FC79F6">
        <w:br/>
      </w:r>
      <w:r w:rsidRPr="006A282C">
        <w:t>на наличие информации о нем на сайте исполнительного органа государственной власти;</w:t>
      </w:r>
    </w:p>
    <w:p w:rsidR="006A282C" w:rsidRPr="006A282C" w:rsidRDefault="006A282C" w:rsidP="006A282C">
      <w:pPr>
        <w:spacing w:line="360" w:lineRule="auto"/>
        <w:ind w:firstLine="709"/>
        <w:jc w:val="both"/>
      </w:pPr>
      <w:r w:rsidRPr="006A282C">
        <w:t>проектом предусмотрена выдача субсидии только одному поставщику социальных услуг, набравшему наибольшее количество баллов, без учета возможностей данной организации по обеспечению потребностей получателей социальных услуг, проживающих на определенной территории;</w:t>
      </w:r>
    </w:p>
    <w:p w:rsidR="006A282C" w:rsidRDefault="006A282C" w:rsidP="006A282C">
      <w:pPr>
        <w:spacing w:line="360" w:lineRule="auto"/>
        <w:ind w:firstLine="709"/>
        <w:jc w:val="both"/>
      </w:pPr>
      <w:r w:rsidRPr="006A282C">
        <w:t xml:space="preserve">требования порядка предоставления субсидии, в том числе установленные критерии конкурсного отбора, исключают возможность получения субсидии вновь созданными организациями, что повлечет снижение </w:t>
      </w:r>
      <w:r w:rsidR="00FC79F6">
        <w:t>конкуренции</w:t>
      </w:r>
      <w:r w:rsidR="00FC79F6">
        <w:br/>
      </w:r>
      <w:r w:rsidRPr="006A282C">
        <w:t>на рынке социальных услуг автономного округа и не будет способствовать увеличению сети негосударственных поставщиков социальных услуг.</w:t>
      </w:r>
    </w:p>
    <w:p w:rsidR="006A282C" w:rsidRPr="00765F94" w:rsidRDefault="006A282C" w:rsidP="00725B4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</w:p>
    <w:p w:rsidR="008B448B" w:rsidRPr="00765F94" w:rsidRDefault="008B448B" w:rsidP="008B5904">
      <w:pPr>
        <w:shd w:val="clear" w:color="auto" w:fill="FFFFFF"/>
        <w:tabs>
          <w:tab w:val="left" w:pos="993"/>
        </w:tabs>
        <w:spacing w:line="312" w:lineRule="auto"/>
        <w:ind w:firstLine="709"/>
        <w:jc w:val="center"/>
        <w:rPr>
          <w:rFonts w:eastAsia="Times New Roman"/>
          <w:lang w:eastAsia="ru-RU"/>
        </w:rPr>
      </w:pPr>
      <w:r w:rsidRPr="00765F94">
        <w:rPr>
          <w:rFonts w:eastAsia="Times New Roman"/>
          <w:b/>
          <w:lang w:val="en-US" w:eastAsia="ru-RU"/>
        </w:rPr>
        <w:t>II</w:t>
      </w:r>
      <w:r w:rsidRPr="00765F94">
        <w:rPr>
          <w:rFonts w:eastAsia="Times New Roman"/>
          <w:b/>
          <w:lang w:eastAsia="ru-RU"/>
        </w:rPr>
        <w:t xml:space="preserve">. Результаты проведения </w:t>
      </w:r>
      <w:r w:rsidR="00602C9A" w:rsidRPr="00765F94">
        <w:rPr>
          <w:rFonts w:eastAsia="Times New Roman"/>
          <w:b/>
          <w:lang w:eastAsia="ru-RU"/>
        </w:rPr>
        <w:t>экспертизы НПА</w:t>
      </w:r>
      <w:r w:rsidR="001537E7" w:rsidRPr="00765F94">
        <w:rPr>
          <w:rFonts w:eastAsia="Times New Roman"/>
          <w:lang w:eastAsia="ru-RU"/>
        </w:rPr>
        <w:t>.</w:t>
      </w:r>
    </w:p>
    <w:p w:rsidR="008B5904" w:rsidRDefault="008B5904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</w:p>
    <w:p w:rsidR="00130E2A" w:rsidRDefault="008B5904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9 месяцев </w:t>
      </w:r>
      <w:r w:rsidR="00585226" w:rsidRPr="00765F94">
        <w:rPr>
          <w:rFonts w:eastAsia="Times New Roman"/>
          <w:lang w:eastAsia="ru-RU"/>
        </w:rPr>
        <w:t>2018</w:t>
      </w:r>
      <w:r w:rsidR="001015EC" w:rsidRPr="00765F94">
        <w:rPr>
          <w:rFonts w:eastAsia="Times New Roman"/>
          <w:lang w:eastAsia="ru-RU"/>
        </w:rPr>
        <w:t xml:space="preserve"> год</w:t>
      </w:r>
      <w:r w:rsidR="00585226" w:rsidRPr="00765F94">
        <w:rPr>
          <w:rFonts w:eastAsia="Times New Roman"/>
          <w:lang w:eastAsia="ru-RU"/>
        </w:rPr>
        <w:t>а</w:t>
      </w:r>
      <w:r w:rsidR="001015EC" w:rsidRPr="00765F94">
        <w:rPr>
          <w:rFonts w:eastAsia="Times New Roman"/>
          <w:lang w:eastAsia="ru-RU"/>
        </w:rPr>
        <w:t xml:space="preserve"> в </w:t>
      </w:r>
      <w:r w:rsidR="002F7713" w:rsidRPr="00765F94">
        <w:rPr>
          <w:rFonts w:eastAsia="Times New Roman"/>
          <w:lang w:eastAsia="ru-RU"/>
        </w:rPr>
        <w:t>уполномоченны</w:t>
      </w:r>
      <w:r w:rsidR="001E452B" w:rsidRPr="00765F94">
        <w:rPr>
          <w:rFonts w:eastAsia="Times New Roman"/>
          <w:lang w:eastAsia="ru-RU"/>
        </w:rPr>
        <w:t>й</w:t>
      </w:r>
      <w:r w:rsidR="002F7713" w:rsidRPr="00765F94">
        <w:rPr>
          <w:rFonts w:eastAsia="Times New Roman"/>
          <w:lang w:eastAsia="ru-RU"/>
        </w:rPr>
        <w:t xml:space="preserve"> орган</w:t>
      </w:r>
      <w:r w:rsidR="001015EC" w:rsidRPr="00765F94">
        <w:rPr>
          <w:rFonts w:eastAsia="Times New Roman"/>
          <w:lang w:eastAsia="ru-RU"/>
        </w:rPr>
        <w:t xml:space="preserve"> для подготовки заключения о</w:t>
      </w:r>
      <w:r w:rsidR="00585226" w:rsidRPr="00765F94">
        <w:rPr>
          <w:rFonts w:eastAsia="Times New Roman"/>
          <w:lang w:eastAsia="ru-RU"/>
        </w:rPr>
        <w:t xml:space="preserve"> </w:t>
      </w:r>
      <w:r w:rsidR="001015EC" w:rsidRPr="00765F94">
        <w:rPr>
          <w:rFonts w:eastAsia="Times New Roman"/>
          <w:lang w:eastAsia="ru-RU"/>
        </w:rPr>
        <w:t>результатах экспертизы поступил</w:t>
      </w:r>
      <w:r w:rsidR="000C3226" w:rsidRPr="00765F94">
        <w:rPr>
          <w:rFonts w:eastAsia="Times New Roman"/>
          <w:lang w:eastAsia="ru-RU"/>
        </w:rPr>
        <w:t>о</w:t>
      </w:r>
      <w:r w:rsidR="001015EC" w:rsidRPr="00765F94">
        <w:rPr>
          <w:rFonts w:eastAsia="Times New Roman"/>
          <w:lang w:eastAsia="ru-RU"/>
        </w:rPr>
        <w:t xml:space="preserve"> </w:t>
      </w:r>
      <w:r w:rsidR="00E46F60">
        <w:rPr>
          <w:rFonts w:eastAsia="Times New Roman"/>
          <w:lang w:eastAsia="ru-RU"/>
        </w:rPr>
        <w:t>7</w:t>
      </w:r>
      <w:r w:rsidR="00725B42">
        <w:rPr>
          <w:rFonts w:eastAsia="Times New Roman"/>
          <w:lang w:eastAsia="ru-RU"/>
        </w:rPr>
        <w:t xml:space="preserve"> </w:t>
      </w:r>
      <w:r w:rsidR="000C3226" w:rsidRPr="00765F94">
        <w:rPr>
          <w:rFonts w:eastAsia="Times New Roman"/>
          <w:lang w:eastAsia="ru-RU"/>
        </w:rPr>
        <w:t>НПА</w:t>
      </w:r>
      <w:r w:rsidR="001015EC" w:rsidRPr="00765F94">
        <w:rPr>
          <w:rFonts w:eastAsia="Times New Roman"/>
          <w:lang w:eastAsia="ru-RU"/>
        </w:rPr>
        <w:t>.</w:t>
      </w:r>
    </w:p>
    <w:p w:rsidR="008B5904" w:rsidRDefault="008B5904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</w:p>
    <w:p w:rsidR="001015EC" w:rsidRDefault="008F63B2" w:rsidP="00130E2A">
      <w:pPr>
        <w:shd w:val="clear" w:color="auto" w:fill="FFFFFF"/>
        <w:spacing w:line="312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65F94">
        <w:rPr>
          <w:rFonts w:eastAsia="Times New Roman"/>
          <w:b/>
          <w:lang w:eastAsia="ru-RU"/>
        </w:rPr>
        <w:t xml:space="preserve">Экспертизу нормативных правовых актов </w:t>
      </w:r>
      <w:r w:rsidR="00823860">
        <w:rPr>
          <w:rFonts w:eastAsia="Times New Roman"/>
          <w:b/>
          <w:lang w:eastAsia="ru-RU"/>
        </w:rPr>
        <w:t xml:space="preserve">за 9 месяцев </w:t>
      </w:r>
      <w:r w:rsidR="00585226" w:rsidRPr="00765F94">
        <w:rPr>
          <w:rFonts w:eastAsia="Times New Roman"/>
          <w:b/>
          <w:lang w:eastAsia="ru-RU"/>
        </w:rPr>
        <w:t>2018</w:t>
      </w:r>
      <w:r w:rsidRPr="00765F94">
        <w:rPr>
          <w:rFonts w:eastAsia="Times New Roman"/>
          <w:b/>
          <w:lang w:eastAsia="ru-RU"/>
        </w:rPr>
        <w:t xml:space="preserve"> год</w:t>
      </w:r>
      <w:r w:rsidR="00585226" w:rsidRPr="00765F94">
        <w:rPr>
          <w:rFonts w:eastAsia="Times New Roman"/>
          <w:b/>
          <w:lang w:eastAsia="ru-RU"/>
        </w:rPr>
        <w:t>а</w:t>
      </w:r>
      <w:r w:rsidRPr="00765F94">
        <w:rPr>
          <w:rFonts w:eastAsia="Times New Roman"/>
          <w:b/>
          <w:lang w:eastAsia="ru-RU"/>
        </w:rPr>
        <w:t xml:space="preserve"> осуществляли</w:t>
      </w:r>
      <w:r w:rsidRPr="00765F94">
        <w:rPr>
          <w:rFonts w:eastAsia="Times New Roman"/>
          <w:b/>
          <w:sz w:val="24"/>
          <w:szCs w:val="24"/>
          <w:lang w:eastAsia="ru-RU"/>
        </w:rPr>
        <w:t>:</w:t>
      </w:r>
    </w:p>
    <w:p w:rsidR="00130E2A" w:rsidRDefault="00E46F60" w:rsidP="00130E2A">
      <w:pPr>
        <w:shd w:val="clear" w:color="auto" w:fill="FFFFFF"/>
        <w:spacing w:line="312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6CEBD985" wp14:editId="2F04B702">
            <wp:extent cx="5585460" cy="2202180"/>
            <wp:effectExtent l="0" t="0" r="1524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1ABF" w:rsidRDefault="00081ABF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lastRenderedPageBreak/>
        <w:t xml:space="preserve">Всего </w:t>
      </w:r>
      <w:r w:rsidR="00E46F60">
        <w:rPr>
          <w:rFonts w:eastAsia="Times New Roman"/>
          <w:lang w:eastAsia="ru-RU"/>
        </w:rPr>
        <w:t>за 9 месяцев</w:t>
      </w:r>
      <w:r w:rsidR="00154F0C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201</w:t>
      </w:r>
      <w:r w:rsidR="00154F0C" w:rsidRPr="00765F94">
        <w:rPr>
          <w:rFonts w:eastAsia="Times New Roman"/>
          <w:lang w:eastAsia="ru-RU"/>
        </w:rPr>
        <w:t>8</w:t>
      </w:r>
      <w:r w:rsidRPr="00765F94">
        <w:rPr>
          <w:rFonts w:eastAsia="Times New Roman"/>
          <w:lang w:eastAsia="ru-RU"/>
        </w:rPr>
        <w:t xml:space="preserve"> год</w:t>
      </w:r>
      <w:r w:rsidR="00154F0C" w:rsidRPr="00765F94">
        <w:rPr>
          <w:rFonts w:eastAsia="Times New Roman"/>
          <w:lang w:eastAsia="ru-RU"/>
        </w:rPr>
        <w:t>а</w:t>
      </w:r>
      <w:r w:rsidRPr="00765F94">
        <w:rPr>
          <w:rFonts w:eastAsia="Times New Roman"/>
          <w:lang w:eastAsia="ru-RU"/>
        </w:rPr>
        <w:t xml:space="preserve"> по результатам рассмотрения материалов об</w:t>
      </w:r>
      <w:r w:rsidR="00104839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 xml:space="preserve">экспертизе НПА вынесено </w:t>
      </w:r>
      <w:r w:rsidR="00E46F60">
        <w:rPr>
          <w:rFonts w:eastAsia="Times New Roman"/>
          <w:lang w:eastAsia="ru-RU"/>
        </w:rPr>
        <w:t>9</w:t>
      </w:r>
      <w:r w:rsidR="00EF3C69">
        <w:rPr>
          <w:rFonts w:eastAsia="Times New Roman"/>
          <w:lang w:eastAsia="ru-RU"/>
        </w:rPr>
        <w:t xml:space="preserve"> заключений</w:t>
      </w:r>
      <w:r w:rsidR="00825263">
        <w:rPr>
          <w:rFonts w:eastAsia="Times New Roman"/>
          <w:lang w:eastAsia="ru-RU"/>
        </w:rPr>
        <w:t>, из них:</w:t>
      </w:r>
    </w:p>
    <w:p w:rsidR="00EF3C69" w:rsidRPr="00EF3C69" w:rsidRDefault="00EF3C69" w:rsidP="00EF3C6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 w:rsidR="00E46F60">
        <w:rPr>
          <w:rFonts w:eastAsia="Times New Roman"/>
          <w:lang w:eastAsia="ru-RU"/>
        </w:rPr>
        <w:t>4</w:t>
      </w:r>
      <w:r w:rsidR="007D2F61">
        <w:rPr>
          <w:rFonts w:eastAsia="Times New Roman"/>
          <w:lang w:eastAsia="ru-RU"/>
        </w:rPr>
        <w:t xml:space="preserve"> </w:t>
      </w:r>
      <w:r w:rsidR="00E46F60" w:rsidRPr="00EF3C69">
        <w:rPr>
          <w:rFonts w:eastAsia="Times New Roman"/>
          <w:lang w:eastAsia="ru-RU"/>
        </w:rPr>
        <w:t>положите</w:t>
      </w:r>
      <w:r w:rsidR="00E46F60">
        <w:rPr>
          <w:rFonts w:eastAsia="Times New Roman"/>
          <w:lang w:eastAsia="ru-RU"/>
        </w:rPr>
        <w:t xml:space="preserve">льных </w:t>
      </w:r>
      <w:r w:rsidR="007D2F61">
        <w:rPr>
          <w:rFonts w:eastAsia="Times New Roman"/>
          <w:lang w:eastAsia="ru-RU"/>
        </w:rPr>
        <w:t>заключения (</w:t>
      </w:r>
      <w:r w:rsidR="00E46F60">
        <w:rPr>
          <w:rFonts w:eastAsia="Times New Roman"/>
          <w:lang w:eastAsia="ru-RU"/>
        </w:rPr>
        <w:t>44</w:t>
      </w:r>
      <w:r w:rsidRPr="00EF3C69">
        <w:rPr>
          <w:rFonts w:eastAsia="Times New Roman"/>
          <w:lang w:eastAsia="ru-RU"/>
        </w:rPr>
        <w:t>%);</w:t>
      </w:r>
    </w:p>
    <w:p w:rsidR="00EF3C69" w:rsidRDefault="00EF3C69" w:rsidP="00EF3C6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 w:rsidR="00E46F60">
        <w:rPr>
          <w:rFonts w:eastAsia="Times New Roman"/>
          <w:lang w:eastAsia="ru-RU"/>
        </w:rPr>
        <w:t>5</w:t>
      </w:r>
      <w:r w:rsidRPr="00EF3C69">
        <w:rPr>
          <w:rFonts w:eastAsia="Times New Roman"/>
          <w:lang w:eastAsia="ru-RU"/>
        </w:rPr>
        <w:t xml:space="preserve"> </w:t>
      </w:r>
      <w:r w:rsidR="00E46F60">
        <w:rPr>
          <w:rFonts w:eastAsia="Times New Roman"/>
          <w:lang w:eastAsia="ru-RU"/>
        </w:rPr>
        <w:t xml:space="preserve">отрицательных </w:t>
      </w:r>
      <w:r w:rsidR="007D2F61">
        <w:rPr>
          <w:rFonts w:eastAsia="Times New Roman"/>
          <w:lang w:eastAsia="ru-RU"/>
        </w:rPr>
        <w:t>заключени</w:t>
      </w:r>
      <w:r w:rsidR="00E46F60">
        <w:rPr>
          <w:rFonts w:eastAsia="Times New Roman"/>
          <w:lang w:eastAsia="ru-RU"/>
        </w:rPr>
        <w:t>й</w:t>
      </w:r>
      <w:r w:rsidR="007D2F61">
        <w:rPr>
          <w:rFonts w:eastAsia="Times New Roman"/>
          <w:lang w:eastAsia="ru-RU"/>
        </w:rPr>
        <w:t xml:space="preserve"> (</w:t>
      </w:r>
      <w:r w:rsidR="00E46F60">
        <w:rPr>
          <w:rFonts w:eastAsia="Times New Roman"/>
          <w:lang w:eastAsia="ru-RU"/>
        </w:rPr>
        <w:t>56</w:t>
      </w:r>
      <w:r>
        <w:rPr>
          <w:rFonts w:eastAsia="Times New Roman"/>
          <w:lang w:eastAsia="ru-RU"/>
        </w:rPr>
        <w:t>%)</w:t>
      </w:r>
      <w:r w:rsidRPr="00EF3C69">
        <w:rPr>
          <w:rFonts w:eastAsia="Times New Roman"/>
          <w:lang w:eastAsia="ru-RU"/>
        </w:rPr>
        <w:t>.</w:t>
      </w:r>
    </w:p>
    <w:p w:rsidR="00E46F60" w:rsidRPr="00EF3C69" w:rsidRDefault="00E46F60" w:rsidP="00EF3C6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</w:p>
    <w:p w:rsidR="00E435A3" w:rsidRPr="00765F94" w:rsidRDefault="00E86805" w:rsidP="00EA4F00">
      <w:pPr>
        <w:spacing w:line="312" w:lineRule="auto"/>
        <w:ind w:firstLine="709"/>
        <w:jc w:val="center"/>
        <w:rPr>
          <w:rFonts w:eastAsia="Times New Roman"/>
          <w:b/>
          <w:lang w:eastAsia="ru-RU"/>
        </w:rPr>
      </w:pPr>
      <w:r w:rsidRPr="00765F94">
        <w:rPr>
          <w:b/>
        </w:rPr>
        <w:t>Количество заключений по экспертизе</w:t>
      </w:r>
      <w:r w:rsidR="00104839" w:rsidRPr="00765F94">
        <w:rPr>
          <w:b/>
          <w:noProof/>
          <w:lang w:eastAsia="ru-RU"/>
        </w:rPr>
        <w:t xml:space="preserve"> </w:t>
      </w:r>
      <w:r w:rsidR="00725B42">
        <w:rPr>
          <w:b/>
          <w:noProof/>
          <w:lang w:eastAsia="ru-RU"/>
        </w:rPr>
        <w:t xml:space="preserve">за </w:t>
      </w:r>
      <w:r w:rsidR="00E075D4">
        <w:rPr>
          <w:b/>
          <w:noProof/>
          <w:lang w:eastAsia="ru-RU"/>
        </w:rPr>
        <w:t>9 месяцев</w:t>
      </w:r>
      <w:r w:rsidR="00154F0C" w:rsidRPr="00765F94">
        <w:rPr>
          <w:b/>
          <w:noProof/>
          <w:lang w:eastAsia="ru-RU"/>
        </w:rPr>
        <w:t xml:space="preserve"> 2018 года</w:t>
      </w:r>
      <w:r w:rsidR="00760812">
        <w:rPr>
          <w:b/>
          <w:noProof/>
          <w:lang w:eastAsia="ru-RU"/>
        </w:rPr>
        <w:t>:</w:t>
      </w:r>
    </w:p>
    <w:p w:rsidR="00130E2A" w:rsidRPr="00765F94" w:rsidRDefault="00130E2A" w:rsidP="00EF3C69">
      <w:pPr>
        <w:shd w:val="clear" w:color="auto" w:fill="FFFFFF"/>
        <w:tabs>
          <w:tab w:val="left" w:pos="9781"/>
        </w:tabs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35980" cy="2065020"/>
            <wp:effectExtent l="0" t="0" r="2667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Причинами вынесения отрицательного заключения послужили: </w:t>
      </w:r>
    </w:p>
    <w:p w:rsidR="00F26FF5" w:rsidRPr="00765F94" w:rsidRDefault="00A25CF8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нарушение</w:t>
      </w:r>
      <w:r w:rsidR="00F26FF5" w:rsidRPr="00765F94">
        <w:rPr>
          <w:rFonts w:eastAsia="Times New Roman"/>
          <w:lang w:eastAsia="ru-RU"/>
        </w:rPr>
        <w:t xml:space="preserve"> порядка проведения экспертизы;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неоднозначная трактовка положений;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признаков непрозрачности административных процедур;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неопределенной, двусмысленной терминологии;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наличие требований представления излишних документов. </w:t>
      </w:r>
    </w:p>
    <w:p w:rsidR="00030F54" w:rsidRDefault="00030F54" w:rsidP="00030F54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</w:p>
    <w:p w:rsidR="00030F54" w:rsidRDefault="00030F54" w:rsidP="00030F54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***</w:t>
      </w:r>
    </w:p>
    <w:p w:rsidR="00F26FF5" w:rsidRPr="00765F94" w:rsidRDefault="00585226" w:rsidP="00236151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Так, по результатам экспертизы постановления </w:t>
      </w:r>
      <w:r w:rsidR="00F26FF5" w:rsidRPr="00765F94">
        <w:rPr>
          <w:rFonts w:eastAsia="Times New Roman"/>
          <w:lang w:eastAsia="ru-RU"/>
        </w:rPr>
        <w:t xml:space="preserve">Правительства </w:t>
      </w:r>
      <w:r w:rsidR="0032489F" w:rsidRPr="00765F94">
        <w:rPr>
          <w:rFonts w:eastAsia="Times New Roman"/>
          <w:lang w:eastAsia="ru-RU"/>
        </w:rPr>
        <w:t xml:space="preserve">автономного округа </w:t>
      </w:r>
      <w:r w:rsidR="00F26FF5" w:rsidRPr="00765F94">
        <w:rPr>
          <w:rFonts w:eastAsia="Times New Roman"/>
          <w:lang w:eastAsia="ru-RU"/>
        </w:rPr>
        <w:t xml:space="preserve">от 9 октября 2013 года № 423-п «О 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</w:t>
      </w:r>
      <w:r w:rsidR="0032489F" w:rsidRPr="00765F94">
        <w:rPr>
          <w:rFonts w:eastAsia="Times New Roman"/>
          <w:lang w:eastAsia="ru-RU"/>
        </w:rPr>
        <w:br/>
      </w:r>
      <w:r w:rsidR="00F26FF5" w:rsidRPr="00765F94">
        <w:rPr>
          <w:rFonts w:eastAsia="Times New Roman"/>
          <w:lang w:eastAsia="ru-RU"/>
        </w:rPr>
        <w:t>на</w:t>
      </w:r>
      <w:r w:rsidR="0032489F" w:rsidRPr="00765F94">
        <w:rPr>
          <w:rFonts w:eastAsia="Times New Roman"/>
          <w:lang w:eastAsia="ru-RU"/>
        </w:rPr>
        <w:t> </w:t>
      </w:r>
      <w:r w:rsidR="00F26FF5" w:rsidRPr="00765F94">
        <w:rPr>
          <w:rFonts w:eastAsia="Times New Roman"/>
          <w:lang w:eastAsia="ru-RU"/>
        </w:rPr>
        <w:t>2016-2020</w:t>
      </w:r>
      <w:r w:rsidR="0032489F" w:rsidRPr="00765F94">
        <w:rPr>
          <w:rFonts w:eastAsia="Times New Roman"/>
          <w:lang w:eastAsia="ru-RU"/>
        </w:rPr>
        <w:t> </w:t>
      </w:r>
      <w:r w:rsidR="00F26FF5" w:rsidRPr="00765F94">
        <w:rPr>
          <w:rFonts w:eastAsia="Times New Roman"/>
          <w:lang w:eastAsia="ru-RU"/>
        </w:rPr>
        <w:t>годы</w:t>
      </w:r>
      <w:r w:rsidRPr="00765F94">
        <w:rPr>
          <w:rFonts w:eastAsia="Times New Roman"/>
          <w:lang w:eastAsia="ru-RU"/>
        </w:rPr>
        <w:t xml:space="preserve">» </w:t>
      </w:r>
      <w:r w:rsidR="00DD45F3" w:rsidRPr="00765F94">
        <w:rPr>
          <w:rFonts w:eastAsia="Times New Roman"/>
          <w:lang w:eastAsia="ru-RU"/>
        </w:rPr>
        <w:t>уполномоченным органом вынесено отрицательное заключение по причин</w:t>
      </w:r>
      <w:r w:rsidR="002A1BDA">
        <w:rPr>
          <w:rFonts w:eastAsia="Times New Roman"/>
          <w:lang w:eastAsia="ru-RU"/>
        </w:rPr>
        <w:t>ам</w:t>
      </w:r>
      <w:r w:rsidR="00F26FF5" w:rsidRPr="00765F94">
        <w:rPr>
          <w:rFonts w:eastAsia="Times New Roman"/>
          <w:lang w:eastAsia="ru-RU"/>
        </w:rPr>
        <w:t>:</w:t>
      </w:r>
    </w:p>
    <w:p w:rsidR="00E62C0F" w:rsidRPr="00765F94" w:rsidRDefault="00585226" w:rsidP="00EA4F00">
      <w:pPr>
        <w:pStyle w:val="a9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нарушен</w:t>
      </w:r>
      <w:r w:rsidR="00DD45F3" w:rsidRPr="00765F94">
        <w:rPr>
          <w:rFonts w:eastAsia="Times New Roman"/>
          <w:lang w:eastAsia="ru-RU"/>
        </w:rPr>
        <w:t>ия</w:t>
      </w:r>
      <w:r w:rsidRPr="00765F94">
        <w:rPr>
          <w:rFonts w:eastAsia="Times New Roman"/>
          <w:lang w:eastAsia="ru-RU"/>
        </w:rPr>
        <w:t xml:space="preserve"> требовани</w:t>
      </w:r>
      <w:r w:rsidR="00407E73">
        <w:rPr>
          <w:rFonts w:eastAsia="Times New Roman"/>
          <w:lang w:eastAsia="ru-RU"/>
        </w:rPr>
        <w:t>й</w:t>
      </w:r>
      <w:r w:rsidRPr="00765F94">
        <w:rPr>
          <w:rFonts w:eastAsia="Times New Roman"/>
          <w:lang w:eastAsia="ru-RU"/>
        </w:rPr>
        <w:t xml:space="preserve"> к процедуре проведения</w:t>
      </w:r>
      <w:r w:rsidR="00A25CF8">
        <w:rPr>
          <w:rFonts w:eastAsia="Times New Roman"/>
          <w:lang w:eastAsia="ru-RU"/>
        </w:rPr>
        <w:t xml:space="preserve"> экспертизы</w:t>
      </w:r>
      <w:r w:rsidRPr="00765F94">
        <w:rPr>
          <w:rFonts w:eastAsia="Times New Roman"/>
          <w:lang w:eastAsia="ru-RU"/>
        </w:rPr>
        <w:t xml:space="preserve"> (некачественно составлен сводный отчет)</w:t>
      </w:r>
      <w:r w:rsidR="00E62C0F" w:rsidRPr="00765F94">
        <w:rPr>
          <w:rFonts w:eastAsia="Times New Roman"/>
          <w:lang w:eastAsia="ru-RU"/>
        </w:rPr>
        <w:t>;</w:t>
      </w:r>
    </w:p>
    <w:p w:rsidR="002A1BDA" w:rsidRDefault="002A1BDA" w:rsidP="002A1BDA">
      <w:pPr>
        <w:pStyle w:val="a9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наличия замечаний к НПА, а именно:</w:t>
      </w:r>
    </w:p>
    <w:p w:rsidR="00E62C0F" w:rsidRPr="002A1BDA" w:rsidRDefault="003C1BCB" w:rsidP="002A1BDA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2A1BDA">
        <w:rPr>
          <w:rFonts w:eastAsia="Times New Roman"/>
          <w:lang w:eastAsia="ru-RU"/>
        </w:rPr>
        <w:lastRenderedPageBreak/>
        <w:t>необоснованного</w:t>
      </w:r>
      <w:r w:rsidR="00E62C0F" w:rsidRPr="002A1BDA">
        <w:rPr>
          <w:rFonts w:eastAsia="Times New Roman"/>
          <w:lang w:eastAsia="ru-RU"/>
        </w:rPr>
        <w:t xml:space="preserve"> требовани</w:t>
      </w:r>
      <w:r w:rsidRPr="002A1BDA">
        <w:rPr>
          <w:rFonts w:eastAsia="Times New Roman"/>
          <w:lang w:eastAsia="ru-RU"/>
        </w:rPr>
        <w:t>я</w:t>
      </w:r>
      <w:r w:rsidR="00EB104E" w:rsidRPr="002A1BDA">
        <w:rPr>
          <w:rFonts w:eastAsia="Times New Roman"/>
          <w:lang w:eastAsia="ru-RU"/>
        </w:rPr>
        <w:t xml:space="preserve"> представления</w:t>
      </w:r>
      <w:r w:rsidR="00E62C0F" w:rsidRPr="002A1BDA">
        <w:rPr>
          <w:rFonts w:eastAsia="Times New Roman"/>
          <w:lang w:eastAsia="ru-RU"/>
        </w:rPr>
        <w:t xml:space="preserve"> документов, которые могут быть получены посредством межведомственного информационного взаимодействия:</w:t>
      </w:r>
    </w:p>
    <w:p w:rsidR="00E62C0F" w:rsidRPr="00765F94" w:rsidRDefault="003C1BCB" w:rsidP="00EA4F00">
      <w:pPr>
        <w:pStyle w:val="a9"/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– </w:t>
      </w:r>
      <w:r w:rsidR="00E62C0F" w:rsidRPr="00765F94">
        <w:rPr>
          <w:rFonts w:eastAsia="Times New Roman"/>
          <w:lang w:eastAsia="ru-RU"/>
        </w:rPr>
        <w:t>копии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A1BDA" w:rsidRDefault="003C1BCB" w:rsidP="002A1BDA">
      <w:pPr>
        <w:pStyle w:val="a9"/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– </w:t>
      </w:r>
      <w:r w:rsidR="00E62C0F" w:rsidRPr="00765F94">
        <w:rPr>
          <w:rFonts w:eastAsia="Times New Roman"/>
          <w:lang w:eastAsia="ru-RU"/>
        </w:rPr>
        <w:t xml:space="preserve">справки налогового органа, </w:t>
      </w:r>
      <w:r w:rsidR="00407E73" w:rsidRPr="00765F94">
        <w:rPr>
          <w:rFonts w:eastAsia="Times New Roman"/>
          <w:lang w:eastAsia="ru-RU"/>
        </w:rPr>
        <w:t>подтверждающ</w:t>
      </w:r>
      <w:r w:rsidR="00EB104E">
        <w:rPr>
          <w:rFonts w:eastAsia="Times New Roman"/>
          <w:lang w:eastAsia="ru-RU"/>
        </w:rPr>
        <w:t>ей</w:t>
      </w:r>
      <w:r w:rsidR="00E62C0F" w:rsidRPr="00765F94">
        <w:rPr>
          <w:rFonts w:eastAsia="Times New Roman"/>
          <w:lang w:eastAsia="ru-RU"/>
        </w:rPr>
        <w:t xml:space="preserve"> отсутствие задолженности по уплате налогов и иных обязательных </w:t>
      </w:r>
      <w:r w:rsidR="00407E73">
        <w:rPr>
          <w:rFonts w:eastAsia="Times New Roman"/>
          <w:lang w:eastAsia="ru-RU"/>
        </w:rPr>
        <w:t>платежей в бюджеты всех уровней</w:t>
      </w:r>
      <w:r w:rsidR="00E62C0F" w:rsidRPr="00765F94">
        <w:rPr>
          <w:rFonts w:eastAsia="Times New Roman"/>
          <w:lang w:eastAsia="ru-RU"/>
        </w:rPr>
        <w:t>;</w:t>
      </w:r>
    </w:p>
    <w:p w:rsidR="00585226" w:rsidRPr="002A1BDA" w:rsidRDefault="00E62C0F" w:rsidP="002A1BDA">
      <w:pPr>
        <w:pStyle w:val="a9"/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2A1BDA">
        <w:rPr>
          <w:rFonts w:eastAsia="Times New Roman"/>
          <w:lang w:eastAsia="ru-RU"/>
        </w:rPr>
        <w:t>отсутств</w:t>
      </w:r>
      <w:r w:rsidR="003C1BCB" w:rsidRPr="002A1BDA">
        <w:rPr>
          <w:rFonts w:eastAsia="Times New Roman"/>
          <w:lang w:eastAsia="ru-RU"/>
        </w:rPr>
        <w:t>ия</w:t>
      </w:r>
      <w:r w:rsidRPr="002A1BDA">
        <w:rPr>
          <w:rFonts w:eastAsia="Times New Roman"/>
          <w:lang w:eastAsia="ru-RU"/>
        </w:rPr>
        <w:t xml:space="preserve"> норм, содержащи</w:t>
      </w:r>
      <w:r w:rsidR="003C1BCB" w:rsidRPr="002A1BDA">
        <w:rPr>
          <w:rFonts w:eastAsia="Times New Roman"/>
          <w:lang w:eastAsia="ru-RU"/>
        </w:rPr>
        <w:t xml:space="preserve">х </w:t>
      </w:r>
      <w:r w:rsidRPr="002A1BDA">
        <w:rPr>
          <w:rFonts w:eastAsia="Times New Roman"/>
          <w:lang w:eastAsia="ru-RU"/>
        </w:rPr>
        <w:t xml:space="preserve">положения о проверке претендентов </w:t>
      </w:r>
      <w:r w:rsidR="002A1BDA">
        <w:rPr>
          <w:rFonts w:eastAsia="Times New Roman"/>
          <w:lang w:eastAsia="ru-RU"/>
        </w:rPr>
        <w:br/>
      </w:r>
      <w:r w:rsidRPr="002A1BDA">
        <w:rPr>
          <w:rFonts w:eastAsia="Times New Roman"/>
          <w:lang w:eastAsia="ru-RU"/>
        </w:rPr>
        <w:t>на получение субсидии на соответствие установленным требованиям.</w:t>
      </w:r>
    </w:p>
    <w:p w:rsidR="00030F54" w:rsidRDefault="00030F54" w:rsidP="00030F54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</w:p>
    <w:p w:rsidR="00992669" w:rsidRDefault="00030F54" w:rsidP="00030F54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 w:rsidRPr="00030F54">
        <w:rPr>
          <w:rFonts w:eastAsia="Times New Roman"/>
          <w:lang w:eastAsia="ru-RU"/>
        </w:rPr>
        <w:t>***</w:t>
      </w:r>
    </w:p>
    <w:p w:rsidR="00992669" w:rsidRDefault="00030F54" w:rsidP="00030F54">
      <w:pPr>
        <w:shd w:val="clear" w:color="auto" w:fill="FFFFFF"/>
        <w:spacing w:line="312" w:lineRule="auto"/>
        <w:ind w:firstLine="708"/>
        <w:jc w:val="both"/>
      </w:pPr>
      <w:r>
        <w:t>По результатам экспертизы постановления Правительства автономного округа от 3 июня 2011 года № 192-п «О порядке проведения проверки сметной стоимости проектно-изыскательских работ, работ по капитальному и текущему ремонту, финансирование которых планируется осуществлять за счет средств бюджета Ханты-Мансийс</w:t>
      </w:r>
      <w:r w:rsidR="009260E8">
        <w:t>кого</w:t>
      </w:r>
      <w:r w:rsidR="00A25CF8">
        <w:t xml:space="preserve"> </w:t>
      </w:r>
      <w:r w:rsidR="009260E8">
        <w:t>автономного округа – Югры»</w:t>
      </w:r>
      <w:r w:rsidR="00BE1719">
        <w:t xml:space="preserve"> </w:t>
      </w:r>
      <w:r w:rsidR="00BE1719" w:rsidRPr="00BE1719">
        <w:t>уполномоченным органом вынесено отрицательное заключение по причин</w:t>
      </w:r>
      <w:r w:rsidR="00105C02">
        <w:t>ам</w:t>
      </w:r>
      <w:r w:rsidR="00BE1719" w:rsidRPr="00BE1719">
        <w:t>:</w:t>
      </w:r>
    </w:p>
    <w:p w:rsidR="0001447A" w:rsidRPr="0001447A" w:rsidRDefault="005D4AF8" w:rsidP="0001447A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 xml:space="preserve">нарушения </w:t>
      </w:r>
      <w:r w:rsidR="0001447A" w:rsidRPr="0001447A">
        <w:t>процедур</w:t>
      </w:r>
      <w:r>
        <w:t>ы</w:t>
      </w:r>
      <w:r w:rsidR="0001447A" w:rsidRPr="0001447A">
        <w:t xml:space="preserve"> проведения публичных консультаций, поскольку материалы экспертизы на портале проектов нормативных правовых актов автономного округа не размещались;</w:t>
      </w:r>
    </w:p>
    <w:p w:rsidR="0001447A" w:rsidRPr="0001447A" w:rsidRDefault="0001447A" w:rsidP="0001447A">
      <w:pPr>
        <w:widowControl w:val="0"/>
        <w:tabs>
          <w:tab w:val="left" w:pos="993"/>
        </w:tabs>
        <w:spacing w:line="348" w:lineRule="auto"/>
        <w:ind w:firstLine="709"/>
        <w:jc w:val="both"/>
        <w:rPr>
          <w:rFonts w:eastAsia="Times New Roman"/>
          <w:lang w:eastAsia="ru-RU"/>
        </w:rPr>
      </w:pPr>
      <w:r w:rsidRPr="0001447A">
        <w:rPr>
          <w:rFonts w:eastAsia="Times New Roman"/>
          <w:lang w:eastAsia="ru-RU"/>
        </w:rPr>
        <w:t>не урегулирован</w:t>
      </w:r>
      <w:r w:rsidR="005D4AF8">
        <w:rPr>
          <w:rFonts w:eastAsia="Times New Roman"/>
          <w:lang w:eastAsia="ru-RU"/>
        </w:rPr>
        <w:t>ия</w:t>
      </w:r>
      <w:r w:rsidRPr="0001447A">
        <w:rPr>
          <w:rFonts w:eastAsia="Times New Roman"/>
          <w:lang w:eastAsia="ru-RU"/>
        </w:rPr>
        <w:t xml:space="preserve"> разногласи</w:t>
      </w:r>
      <w:r w:rsidR="005D4AF8">
        <w:rPr>
          <w:rFonts w:eastAsia="Times New Roman"/>
          <w:lang w:eastAsia="ru-RU"/>
        </w:rPr>
        <w:t>й</w:t>
      </w:r>
      <w:r w:rsidRPr="0001447A">
        <w:rPr>
          <w:rFonts w:eastAsia="Times New Roman"/>
          <w:lang w:eastAsia="ru-RU"/>
        </w:rPr>
        <w:t xml:space="preserve"> с участниками публичных консультаций, поскольку отсутствует документальное подтверждение получения ими ответов </w:t>
      </w:r>
      <w:r w:rsidR="005D4AF8">
        <w:rPr>
          <w:rFonts w:eastAsia="Times New Roman"/>
          <w:lang w:eastAsia="ru-RU"/>
        </w:rPr>
        <w:br/>
      </w:r>
      <w:r w:rsidRPr="0001447A">
        <w:rPr>
          <w:rFonts w:eastAsia="Times New Roman"/>
          <w:lang w:eastAsia="ru-RU"/>
        </w:rPr>
        <w:t>о рассмотрении представленных замечаний и предложений;</w:t>
      </w:r>
    </w:p>
    <w:p w:rsidR="00E44529" w:rsidRDefault="005D4AF8" w:rsidP="0001447A">
      <w:pPr>
        <w:tabs>
          <w:tab w:val="left" w:pos="0"/>
          <w:tab w:val="left" w:pos="993"/>
        </w:tabs>
        <w:spacing w:line="348" w:lineRule="auto"/>
        <w:ind w:firstLine="709"/>
        <w:jc w:val="both"/>
      </w:pPr>
      <w:r w:rsidRPr="005D4AF8">
        <w:t>нарушения требований к процедуре проведения экспертизы (некачественно составлен сводный отчет)</w:t>
      </w:r>
      <w:r w:rsidR="00E44529">
        <w:t>.</w:t>
      </w:r>
    </w:p>
    <w:p w:rsidR="00161B85" w:rsidRDefault="00161B85" w:rsidP="0001447A">
      <w:pPr>
        <w:tabs>
          <w:tab w:val="left" w:pos="0"/>
          <w:tab w:val="left" w:pos="993"/>
        </w:tabs>
        <w:spacing w:line="348" w:lineRule="auto"/>
        <w:ind w:firstLine="709"/>
        <w:jc w:val="both"/>
      </w:pPr>
    </w:p>
    <w:p w:rsidR="00161B85" w:rsidRDefault="00161B85" w:rsidP="00161B85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 w:rsidRPr="00030F54">
        <w:rPr>
          <w:rFonts w:eastAsia="Times New Roman"/>
          <w:lang w:eastAsia="ru-RU"/>
        </w:rPr>
        <w:t>***</w:t>
      </w:r>
    </w:p>
    <w:p w:rsidR="00161B85" w:rsidRDefault="00161B85" w:rsidP="0001447A">
      <w:pPr>
        <w:tabs>
          <w:tab w:val="left" w:pos="0"/>
          <w:tab w:val="left" w:pos="993"/>
        </w:tabs>
        <w:spacing w:line="348" w:lineRule="auto"/>
        <w:ind w:firstLine="709"/>
        <w:jc w:val="both"/>
      </w:pPr>
    </w:p>
    <w:p w:rsidR="007520F9" w:rsidRDefault="00161B85" w:rsidP="0001447A">
      <w:pPr>
        <w:tabs>
          <w:tab w:val="left" w:pos="0"/>
          <w:tab w:val="left" w:pos="993"/>
        </w:tabs>
        <w:spacing w:line="348" w:lineRule="auto"/>
        <w:ind w:firstLine="709"/>
        <w:jc w:val="both"/>
      </w:pPr>
      <w:r>
        <w:t>По итогам экспертизы вн</w:t>
      </w:r>
      <w:r w:rsidR="007520F9">
        <w:t>есены изменения в 2 НПА, а именно</w:t>
      </w:r>
      <w:r w:rsidR="0035262D">
        <w:t xml:space="preserve"> приняты</w:t>
      </w:r>
      <w:r w:rsidR="00C90D58">
        <w:t xml:space="preserve"> постановления Правительства автономного округа</w:t>
      </w:r>
      <w:r w:rsidR="007520F9">
        <w:t>:</w:t>
      </w:r>
    </w:p>
    <w:p w:rsidR="007520F9" w:rsidRDefault="007520F9" w:rsidP="0001447A">
      <w:pPr>
        <w:tabs>
          <w:tab w:val="left" w:pos="0"/>
          <w:tab w:val="left" w:pos="993"/>
        </w:tabs>
        <w:spacing w:line="348" w:lineRule="auto"/>
        <w:ind w:firstLine="709"/>
        <w:jc w:val="both"/>
      </w:pPr>
      <w:r w:rsidRPr="007520F9">
        <w:t>от 8</w:t>
      </w:r>
      <w:r w:rsidR="00C90D58">
        <w:t xml:space="preserve"> июня </w:t>
      </w:r>
      <w:r w:rsidRPr="007520F9">
        <w:t xml:space="preserve">2018 </w:t>
      </w:r>
      <w:r w:rsidR="00C90D58">
        <w:t xml:space="preserve">года </w:t>
      </w:r>
      <w:r>
        <w:t>№ 180-п «</w:t>
      </w:r>
      <w:r w:rsidRPr="007520F9">
        <w:t>О внесении изменений в постановление Правительства Ханты-Мансийского автономного округа</w:t>
      </w:r>
      <w:r>
        <w:t xml:space="preserve"> </w:t>
      </w:r>
      <w:r w:rsidR="00C90D58">
        <w:t>–</w:t>
      </w:r>
      <w:r>
        <w:t xml:space="preserve"> Югры</w:t>
      </w:r>
      <w:r w:rsidR="00C90D58">
        <w:t xml:space="preserve"> </w:t>
      </w:r>
      <w:r>
        <w:t>от 12 апреля 2010 года № 102-п «</w:t>
      </w:r>
      <w:r w:rsidRPr="007520F9">
        <w:t xml:space="preserve">О регулировании отношений при предоставлении и </w:t>
      </w:r>
      <w:r w:rsidRPr="007520F9">
        <w:lastRenderedPageBreak/>
        <w:t>пользовании участками недр местного значения на территории Ханты-Мансий</w:t>
      </w:r>
      <w:r>
        <w:t>ского автономного округа – Югры»</w:t>
      </w:r>
      <w:r w:rsidR="00C90D58">
        <w:t>;</w:t>
      </w:r>
    </w:p>
    <w:p w:rsidR="00C90D58" w:rsidRDefault="0035262D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35262D">
        <w:rPr>
          <w:rFonts w:eastAsia="Times New Roman"/>
          <w:lang w:eastAsia="ru-RU"/>
        </w:rPr>
        <w:t>от 5</w:t>
      </w:r>
      <w:r w:rsidR="00C90D58">
        <w:rPr>
          <w:rFonts w:eastAsia="Times New Roman"/>
          <w:lang w:eastAsia="ru-RU"/>
        </w:rPr>
        <w:t xml:space="preserve"> октября </w:t>
      </w:r>
      <w:r w:rsidRPr="0035262D">
        <w:rPr>
          <w:rFonts w:eastAsia="Times New Roman"/>
          <w:lang w:eastAsia="ru-RU"/>
        </w:rPr>
        <w:t>2018</w:t>
      </w:r>
      <w:r w:rsidR="00C90D58">
        <w:rPr>
          <w:rFonts w:eastAsia="Times New Roman"/>
          <w:lang w:eastAsia="ru-RU"/>
        </w:rPr>
        <w:t xml:space="preserve"> года № 347-п «</w:t>
      </w:r>
      <w:r w:rsidRPr="0035262D">
        <w:rPr>
          <w:rFonts w:eastAsia="Times New Roman"/>
          <w:lang w:eastAsia="ru-RU"/>
        </w:rPr>
        <w:t>О государственной программе Ханты-Мансийс</w:t>
      </w:r>
      <w:r w:rsidR="00C90D58">
        <w:rPr>
          <w:rFonts w:eastAsia="Times New Roman"/>
          <w:lang w:eastAsia="ru-RU"/>
        </w:rPr>
        <w:t>кого автономного округа – Югры «</w:t>
      </w:r>
      <w:r w:rsidRPr="0035262D">
        <w:rPr>
          <w:rFonts w:eastAsia="Times New Roman"/>
          <w:lang w:eastAsia="ru-RU"/>
        </w:rPr>
        <w:t>Жилищно-коммунальный комплекс и городская среда</w:t>
      </w:r>
      <w:r w:rsidR="00C90D58">
        <w:rPr>
          <w:rFonts w:eastAsia="Times New Roman"/>
          <w:lang w:eastAsia="ru-RU"/>
        </w:rPr>
        <w:t>».</w:t>
      </w:r>
    </w:p>
    <w:p w:rsidR="00B51182" w:rsidRDefault="00B5118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</w:p>
    <w:p w:rsidR="0051720C" w:rsidRPr="00765F94" w:rsidRDefault="0051720C" w:rsidP="00E44529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  <w:r w:rsidRPr="00765F94">
        <w:rPr>
          <w:rFonts w:eastAsia="Times New Roman"/>
          <w:b/>
          <w:lang w:val="en-US" w:eastAsia="ru-RU"/>
        </w:rPr>
        <w:t>III</w:t>
      </w:r>
      <w:r w:rsidRPr="00765F94">
        <w:rPr>
          <w:rFonts w:eastAsia="Times New Roman"/>
          <w:b/>
          <w:lang w:eastAsia="ru-RU"/>
        </w:rPr>
        <w:t>. Результаты проведения оценки фактического воздействия:</w:t>
      </w:r>
    </w:p>
    <w:p w:rsidR="00E44529" w:rsidRDefault="00E44529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</w:p>
    <w:p w:rsidR="00E92189" w:rsidRDefault="00E44529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9 месяцев</w:t>
      </w:r>
      <w:r w:rsidR="00F07365" w:rsidRPr="00765F94">
        <w:rPr>
          <w:rFonts w:eastAsia="Times New Roman"/>
          <w:lang w:eastAsia="ru-RU"/>
        </w:rPr>
        <w:t xml:space="preserve"> </w:t>
      </w:r>
      <w:r w:rsidR="00802960" w:rsidRPr="00765F94">
        <w:rPr>
          <w:rFonts w:eastAsia="Times New Roman"/>
          <w:lang w:eastAsia="ru-RU"/>
        </w:rPr>
        <w:t>201</w:t>
      </w:r>
      <w:r w:rsidR="00F07365" w:rsidRPr="00765F94">
        <w:rPr>
          <w:rFonts w:eastAsia="Times New Roman"/>
          <w:lang w:eastAsia="ru-RU"/>
        </w:rPr>
        <w:t>8</w:t>
      </w:r>
      <w:r w:rsidR="00802960" w:rsidRPr="00765F94">
        <w:rPr>
          <w:rFonts w:eastAsia="Times New Roman"/>
          <w:lang w:eastAsia="ru-RU"/>
        </w:rPr>
        <w:t xml:space="preserve"> год</w:t>
      </w:r>
      <w:r w:rsidR="00F07365" w:rsidRPr="00765F94">
        <w:rPr>
          <w:rFonts w:eastAsia="Times New Roman"/>
          <w:lang w:eastAsia="ru-RU"/>
        </w:rPr>
        <w:t>а</w:t>
      </w:r>
      <w:r w:rsidR="00802960" w:rsidRPr="00765F94">
        <w:rPr>
          <w:rFonts w:eastAsia="Times New Roman"/>
          <w:lang w:eastAsia="ru-RU"/>
        </w:rPr>
        <w:t xml:space="preserve"> в </w:t>
      </w:r>
      <w:r w:rsidR="00F52DBD" w:rsidRPr="00765F94">
        <w:rPr>
          <w:rFonts w:eastAsia="Times New Roman"/>
          <w:lang w:eastAsia="ru-RU"/>
        </w:rPr>
        <w:t>уполномоченный орган</w:t>
      </w:r>
      <w:r w:rsidR="00802960" w:rsidRPr="00765F94">
        <w:rPr>
          <w:rFonts w:eastAsia="Times New Roman"/>
          <w:lang w:eastAsia="ru-RU"/>
        </w:rPr>
        <w:t xml:space="preserve"> для подготовки заключения о</w:t>
      </w:r>
      <w:r w:rsidR="009175CC">
        <w:rPr>
          <w:rFonts w:eastAsia="Times New Roman"/>
          <w:lang w:eastAsia="ru-RU"/>
        </w:rPr>
        <w:t xml:space="preserve"> </w:t>
      </w:r>
      <w:r w:rsidR="00802960" w:rsidRPr="00765F94">
        <w:rPr>
          <w:rFonts w:eastAsia="Times New Roman"/>
          <w:lang w:eastAsia="ru-RU"/>
        </w:rPr>
        <w:t xml:space="preserve">результатах </w:t>
      </w:r>
      <w:r w:rsidR="0063093D" w:rsidRPr="00765F94">
        <w:rPr>
          <w:rFonts w:eastAsia="Times New Roman"/>
          <w:lang w:eastAsia="ru-RU"/>
        </w:rPr>
        <w:t>ОФВ</w:t>
      </w:r>
      <w:r w:rsidR="00802960" w:rsidRPr="00765F94">
        <w:rPr>
          <w:rFonts w:eastAsia="Times New Roman"/>
          <w:lang w:eastAsia="ru-RU"/>
        </w:rPr>
        <w:t xml:space="preserve"> поступил</w:t>
      </w:r>
      <w:r w:rsidR="0063093D" w:rsidRPr="00765F94">
        <w:rPr>
          <w:rFonts w:eastAsia="Times New Roman"/>
          <w:lang w:eastAsia="ru-RU"/>
        </w:rPr>
        <w:t>о</w:t>
      </w:r>
      <w:r w:rsidR="00802960" w:rsidRPr="00765F94">
        <w:rPr>
          <w:rFonts w:eastAsia="Times New Roman"/>
          <w:lang w:eastAsia="ru-RU"/>
        </w:rPr>
        <w:t xml:space="preserve"> </w:t>
      </w:r>
      <w:r w:rsidR="00EB104E">
        <w:rPr>
          <w:rFonts w:eastAsia="Times New Roman"/>
          <w:lang w:eastAsia="ru-RU"/>
        </w:rPr>
        <w:t>2</w:t>
      </w:r>
      <w:r w:rsidR="00802960" w:rsidRPr="00765F94">
        <w:rPr>
          <w:rFonts w:eastAsia="Times New Roman"/>
          <w:lang w:eastAsia="ru-RU"/>
        </w:rPr>
        <w:t xml:space="preserve"> </w:t>
      </w:r>
      <w:r w:rsidR="0063093D" w:rsidRPr="00765F94">
        <w:rPr>
          <w:rFonts w:eastAsia="Times New Roman"/>
          <w:lang w:eastAsia="ru-RU"/>
        </w:rPr>
        <w:t>НПА</w:t>
      </w:r>
      <w:r w:rsidR="00E92189">
        <w:rPr>
          <w:rFonts w:eastAsia="Times New Roman"/>
          <w:lang w:eastAsia="ru-RU"/>
        </w:rPr>
        <w:t>:</w:t>
      </w:r>
    </w:p>
    <w:p w:rsidR="00EA4F00" w:rsidRDefault="00B76F15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E92189">
        <w:rPr>
          <w:rFonts w:eastAsia="Times New Roman"/>
          <w:lang w:eastAsia="ru-RU"/>
        </w:rPr>
        <w:t xml:space="preserve"> п</w:t>
      </w:r>
      <w:r w:rsidR="007D2F61" w:rsidRPr="007D2F61">
        <w:rPr>
          <w:rFonts w:eastAsia="Times New Roman"/>
          <w:lang w:eastAsia="ru-RU"/>
        </w:rPr>
        <w:t xml:space="preserve">остановление Правительства </w:t>
      </w:r>
      <w:r w:rsidR="00E92189">
        <w:rPr>
          <w:rFonts w:eastAsia="Times New Roman"/>
          <w:lang w:eastAsia="ru-RU"/>
        </w:rPr>
        <w:t xml:space="preserve">автономного округа </w:t>
      </w:r>
      <w:r w:rsidR="007D2F61" w:rsidRPr="007D2F61">
        <w:rPr>
          <w:rFonts w:eastAsia="Times New Roman"/>
          <w:lang w:eastAsia="ru-RU"/>
        </w:rPr>
        <w:t xml:space="preserve">от 18 декабря </w:t>
      </w:r>
      <w:r w:rsidR="00176065">
        <w:rPr>
          <w:rFonts w:eastAsia="Times New Roman"/>
          <w:lang w:eastAsia="ru-RU"/>
        </w:rPr>
        <w:br/>
      </w:r>
      <w:r w:rsidR="007D2F61" w:rsidRPr="007D2F61">
        <w:rPr>
          <w:rFonts w:eastAsia="Times New Roman"/>
          <w:lang w:eastAsia="ru-RU"/>
        </w:rPr>
        <w:t xml:space="preserve">2015 года № 476-п «О внесении изменений в постановление Правительства </w:t>
      </w:r>
      <w:r w:rsidR="00E92189">
        <w:rPr>
          <w:rFonts w:eastAsia="Times New Roman"/>
          <w:lang w:eastAsia="ru-RU"/>
        </w:rPr>
        <w:br/>
      </w:r>
      <w:r w:rsidR="007D2F61" w:rsidRPr="007D2F61">
        <w:rPr>
          <w:rFonts w:eastAsia="Times New Roman"/>
          <w:lang w:eastAsia="ru-RU"/>
        </w:rPr>
        <w:t xml:space="preserve">Ханты-Мансийского автономного округа – Югры от 21 сентября 2005 года </w:t>
      </w:r>
      <w:r w:rsidR="00E92189">
        <w:rPr>
          <w:rFonts w:eastAsia="Times New Roman"/>
          <w:lang w:eastAsia="ru-RU"/>
        </w:rPr>
        <w:br/>
      </w:r>
      <w:r w:rsidR="007D2F61" w:rsidRPr="007D2F61">
        <w:rPr>
          <w:rFonts w:eastAsia="Times New Roman"/>
          <w:lang w:eastAsia="ru-RU"/>
        </w:rPr>
        <w:t>№ 171-п «О Порядке представления налогоплательщиками-организациями информации для анализа эффективности действия льгот по налогам»</w:t>
      </w:r>
      <w:r w:rsidR="00E92189">
        <w:rPr>
          <w:rFonts w:eastAsia="Times New Roman"/>
          <w:lang w:eastAsia="ru-RU"/>
        </w:rPr>
        <w:t xml:space="preserve"> </w:t>
      </w:r>
      <w:r w:rsidR="00E92189">
        <w:rPr>
          <w:rFonts w:eastAsia="Times New Roman"/>
          <w:lang w:eastAsia="ru-RU"/>
        </w:rPr>
        <w:br/>
        <w:t>(орган, осуществляющий ОФВ НПА</w:t>
      </w:r>
      <w:r w:rsidR="002A6492">
        <w:rPr>
          <w:rFonts w:eastAsia="Times New Roman"/>
          <w:lang w:eastAsia="ru-RU"/>
        </w:rPr>
        <w:t>,</w:t>
      </w:r>
      <w:r w:rsidR="00A27147">
        <w:rPr>
          <w:rFonts w:eastAsia="Times New Roman"/>
          <w:lang w:eastAsia="ru-RU"/>
        </w:rPr>
        <w:t xml:space="preserve"> – </w:t>
      </w:r>
      <w:r w:rsidR="00E92189">
        <w:rPr>
          <w:rFonts w:eastAsia="Times New Roman"/>
          <w:lang w:eastAsia="ru-RU"/>
        </w:rPr>
        <w:t>Депфин Югры);</w:t>
      </w:r>
    </w:p>
    <w:p w:rsidR="00E92189" w:rsidRDefault="00B76F15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92189" w:rsidRPr="00E92189">
        <w:rPr>
          <w:rFonts w:eastAsia="Times New Roman"/>
          <w:lang w:eastAsia="ru-RU"/>
        </w:rPr>
        <w:t xml:space="preserve">Закон автономного округа от 31 марта 2016 года № 23-оз </w:t>
      </w:r>
      <w:r w:rsidR="00E92189">
        <w:rPr>
          <w:rFonts w:eastAsia="Times New Roman"/>
          <w:lang w:eastAsia="ru-RU"/>
        </w:rPr>
        <w:br/>
        <w:t>«</w:t>
      </w:r>
      <w:r w:rsidR="00E92189" w:rsidRPr="00E92189">
        <w:rPr>
          <w:rFonts w:eastAsia="Times New Roman"/>
          <w:lang w:eastAsia="ru-RU"/>
        </w:rPr>
        <w:t>О промышленной политике в Ханты-Манс</w:t>
      </w:r>
      <w:r w:rsidR="00E92189">
        <w:rPr>
          <w:rFonts w:eastAsia="Times New Roman"/>
          <w:lang w:eastAsia="ru-RU"/>
        </w:rPr>
        <w:t>ийском автономном округе – Югре»</w:t>
      </w:r>
      <w:r w:rsidR="00E92189" w:rsidRPr="00E92189">
        <w:rPr>
          <w:rFonts w:eastAsia="Times New Roman"/>
          <w:lang w:eastAsia="ru-RU"/>
        </w:rPr>
        <w:t xml:space="preserve"> </w:t>
      </w:r>
      <w:r w:rsidR="00E92189">
        <w:rPr>
          <w:rFonts w:eastAsia="Times New Roman"/>
          <w:lang w:eastAsia="ru-RU"/>
        </w:rPr>
        <w:t>(ор</w:t>
      </w:r>
      <w:r w:rsidR="00A27147">
        <w:rPr>
          <w:rFonts w:eastAsia="Times New Roman"/>
          <w:lang w:eastAsia="ru-RU"/>
        </w:rPr>
        <w:t>ган, осуществляющий ОФВ НПА</w:t>
      </w:r>
      <w:r w:rsidR="002A6492">
        <w:rPr>
          <w:rFonts w:eastAsia="Times New Roman"/>
          <w:lang w:eastAsia="ru-RU"/>
        </w:rPr>
        <w:t>,</w:t>
      </w:r>
      <w:r w:rsidR="00A27147">
        <w:rPr>
          <w:rFonts w:eastAsia="Times New Roman"/>
          <w:lang w:eastAsia="ru-RU"/>
        </w:rPr>
        <w:t xml:space="preserve"> –</w:t>
      </w:r>
      <w:r w:rsidR="00E92189">
        <w:rPr>
          <w:rFonts w:eastAsia="Times New Roman"/>
          <w:lang w:eastAsia="ru-RU"/>
        </w:rPr>
        <w:t xml:space="preserve"> Деппромышленности Югры).</w:t>
      </w:r>
    </w:p>
    <w:p w:rsidR="00B76F15" w:rsidRDefault="002A6492" w:rsidP="002A6492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повторно рассмотрены после устранения замечаний материалы к </w:t>
      </w:r>
      <w:r w:rsidR="00B76F15">
        <w:rPr>
          <w:rFonts w:eastAsia="Times New Roman"/>
          <w:lang w:eastAsia="ru-RU"/>
        </w:rPr>
        <w:t>постановлениям Правительства автономного округа:</w:t>
      </w:r>
    </w:p>
    <w:p w:rsidR="00B76F15" w:rsidRDefault="00B76F15" w:rsidP="00B76F15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76F15">
        <w:rPr>
          <w:rFonts w:eastAsia="Times New Roman"/>
          <w:lang w:eastAsia="ru-RU"/>
        </w:rPr>
        <w:t>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Югре»;</w:t>
      </w:r>
    </w:p>
    <w:p w:rsidR="00B76F15" w:rsidRDefault="00B76F15" w:rsidP="00B76F15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76F15">
        <w:rPr>
          <w:rFonts w:eastAsia="Times New Roman"/>
          <w:lang w:eastAsia="ru-RU"/>
        </w:rPr>
        <w:t xml:space="preserve">от 7 ноября 2014 года № 416-п «О внесении изменений в постановление Правительства Ханты-Мансийского автономного округа </w:t>
      </w:r>
      <w:r>
        <w:rPr>
          <w:rFonts w:eastAsia="Times New Roman"/>
          <w:lang w:eastAsia="ru-RU"/>
        </w:rPr>
        <w:t xml:space="preserve">– </w:t>
      </w:r>
      <w:r w:rsidRPr="00B76F15">
        <w:rPr>
          <w:rFonts w:eastAsia="Times New Roman"/>
          <w:lang w:eastAsia="ru-RU"/>
        </w:rPr>
        <w:t>Югры от 29 ноября 2007 года № 294-п «О порядке ведения регионального кадастра отходов»;</w:t>
      </w:r>
      <w:r>
        <w:rPr>
          <w:rFonts w:eastAsia="Times New Roman"/>
          <w:lang w:eastAsia="ru-RU"/>
        </w:rPr>
        <w:t xml:space="preserve"> </w:t>
      </w:r>
    </w:p>
    <w:p w:rsidR="00B76F15" w:rsidRDefault="00B76F15" w:rsidP="00B76F15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76F15">
        <w:rPr>
          <w:rFonts w:eastAsia="Times New Roman"/>
          <w:lang w:eastAsia="ru-RU"/>
        </w:rPr>
        <w:t xml:space="preserve">от 7 ноября 2014 года № 418-п «О внесении изменений в приложение </w:t>
      </w:r>
      <w:r>
        <w:rPr>
          <w:rFonts w:eastAsia="Times New Roman"/>
          <w:lang w:eastAsia="ru-RU"/>
        </w:rPr>
        <w:br/>
      </w:r>
      <w:r w:rsidRPr="00B76F15">
        <w:rPr>
          <w:rFonts w:eastAsia="Times New Roman"/>
          <w:lang w:eastAsia="ru-RU"/>
        </w:rPr>
        <w:t xml:space="preserve">к постановлению Правительства Ханты-Мансийского автономного </w:t>
      </w:r>
      <w:r>
        <w:rPr>
          <w:rFonts w:eastAsia="Times New Roman"/>
          <w:lang w:eastAsia="ru-RU"/>
        </w:rPr>
        <w:br/>
      </w:r>
      <w:r w:rsidRPr="00B76F15">
        <w:rPr>
          <w:rFonts w:eastAsia="Times New Roman"/>
          <w:lang w:eastAsia="ru-RU"/>
        </w:rPr>
        <w:t xml:space="preserve">округа – Югры от 9 октября 2013 года № 413-п «О государственной программе </w:t>
      </w:r>
      <w:r w:rsidRPr="00B76F15">
        <w:rPr>
          <w:rFonts w:eastAsia="Times New Roman"/>
          <w:lang w:eastAsia="ru-RU"/>
        </w:rPr>
        <w:lastRenderedPageBreak/>
        <w:t xml:space="preserve">Ханты-Мансийского автономного округа – Югры «Развитие образования </w:t>
      </w:r>
      <w:r>
        <w:rPr>
          <w:rFonts w:eastAsia="Times New Roman"/>
          <w:lang w:eastAsia="ru-RU"/>
        </w:rPr>
        <w:br/>
      </w:r>
      <w:r w:rsidRPr="00B76F15">
        <w:rPr>
          <w:rFonts w:eastAsia="Times New Roman"/>
          <w:lang w:eastAsia="ru-RU"/>
        </w:rPr>
        <w:t>в Ханты-Мансийском автономном округе – Югре на 2014-2020 годы».</w:t>
      </w:r>
    </w:p>
    <w:p w:rsidR="0010328D" w:rsidRPr="00765F94" w:rsidRDefault="00B438E1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9 месяцев </w:t>
      </w:r>
      <w:r w:rsidR="0010328D" w:rsidRPr="00765F94">
        <w:rPr>
          <w:rFonts w:eastAsia="Times New Roman"/>
          <w:lang w:eastAsia="ru-RU"/>
        </w:rPr>
        <w:t>201</w:t>
      </w:r>
      <w:r w:rsidR="008C1C2C" w:rsidRPr="00765F94">
        <w:rPr>
          <w:rFonts w:eastAsia="Times New Roman"/>
          <w:lang w:eastAsia="ru-RU"/>
        </w:rPr>
        <w:t>8</w:t>
      </w:r>
      <w:r w:rsidR="0010328D" w:rsidRPr="00765F94">
        <w:rPr>
          <w:rFonts w:eastAsia="Times New Roman"/>
          <w:lang w:eastAsia="ru-RU"/>
        </w:rPr>
        <w:t xml:space="preserve"> год</w:t>
      </w:r>
      <w:r w:rsidR="008C1C2C" w:rsidRPr="00765F94">
        <w:rPr>
          <w:rFonts w:eastAsia="Times New Roman"/>
          <w:lang w:eastAsia="ru-RU"/>
        </w:rPr>
        <w:t>а</w:t>
      </w:r>
      <w:r w:rsidR="0010328D" w:rsidRPr="00765F94">
        <w:rPr>
          <w:rFonts w:eastAsia="Times New Roman"/>
          <w:lang w:eastAsia="ru-RU"/>
        </w:rPr>
        <w:t xml:space="preserve"> по результатам рассмотрения материалов </w:t>
      </w:r>
      <w:r w:rsidR="00C02F99">
        <w:rPr>
          <w:rFonts w:eastAsia="Times New Roman"/>
          <w:lang w:eastAsia="ru-RU"/>
        </w:rPr>
        <w:br/>
      </w:r>
      <w:r w:rsidR="0010328D" w:rsidRPr="00765F94">
        <w:rPr>
          <w:rFonts w:eastAsia="Times New Roman"/>
          <w:lang w:eastAsia="ru-RU"/>
        </w:rPr>
        <w:t>об</w:t>
      </w:r>
      <w:r w:rsidR="00C02F99">
        <w:rPr>
          <w:rFonts w:eastAsia="Times New Roman"/>
          <w:lang w:eastAsia="ru-RU"/>
        </w:rPr>
        <w:t xml:space="preserve"> </w:t>
      </w:r>
      <w:r w:rsidR="007551BF" w:rsidRPr="00765F94">
        <w:rPr>
          <w:rFonts w:eastAsia="Times New Roman"/>
          <w:lang w:eastAsia="ru-RU"/>
        </w:rPr>
        <w:t>ОФВ</w:t>
      </w:r>
      <w:r w:rsidR="0010328D" w:rsidRPr="00765F94">
        <w:rPr>
          <w:rFonts w:eastAsia="Times New Roman"/>
          <w:lang w:eastAsia="ru-RU"/>
        </w:rPr>
        <w:t xml:space="preserve"> НПА </w:t>
      </w:r>
      <w:r w:rsidR="008C1C2C" w:rsidRPr="00765F94">
        <w:rPr>
          <w:rFonts w:eastAsia="Times New Roman"/>
          <w:lang w:eastAsia="ru-RU"/>
        </w:rPr>
        <w:t>подготовлено</w:t>
      </w:r>
      <w:r w:rsidR="0010328D" w:rsidRPr="00765F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7</w:t>
      </w:r>
      <w:r w:rsidR="007551BF" w:rsidRPr="00765F94">
        <w:rPr>
          <w:rFonts w:eastAsia="Times New Roman"/>
          <w:lang w:eastAsia="ru-RU"/>
        </w:rPr>
        <w:t xml:space="preserve"> заключени</w:t>
      </w:r>
      <w:r w:rsidR="00C02F99">
        <w:rPr>
          <w:rFonts w:eastAsia="Times New Roman"/>
          <w:lang w:eastAsia="ru-RU"/>
        </w:rPr>
        <w:t>й:</w:t>
      </w:r>
    </w:p>
    <w:p w:rsidR="00C02F99" w:rsidRPr="00EF3C69" w:rsidRDefault="00C02F99" w:rsidP="00C02F9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 w:rsidR="0007005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B438E1" w:rsidRPr="00EF3C69">
        <w:rPr>
          <w:rFonts w:eastAsia="Times New Roman"/>
          <w:lang w:eastAsia="ru-RU"/>
        </w:rPr>
        <w:t>положите</w:t>
      </w:r>
      <w:r w:rsidR="00B438E1">
        <w:rPr>
          <w:rFonts w:eastAsia="Times New Roman"/>
          <w:lang w:eastAsia="ru-RU"/>
        </w:rPr>
        <w:t>льных заключений</w:t>
      </w:r>
      <w:r>
        <w:rPr>
          <w:rFonts w:eastAsia="Times New Roman"/>
          <w:lang w:eastAsia="ru-RU"/>
        </w:rPr>
        <w:t xml:space="preserve"> (</w:t>
      </w:r>
      <w:r w:rsidR="00C70594">
        <w:rPr>
          <w:rFonts w:eastAsia="Times New Roman"/>
          <w:lang w:eastAsia="ru-RU"/>
        </w:rPr>
        <w:t>71</w:t>
      </w:r>
      <w:r w:rsidRPr="00EF3C69">
        <w:rPr>
          <w:rFonts w:eastAsia="Times New Roman"/>
          <w:lang w:eastAsia="ru-RU"/>
        </w:rPr>
        <w:t>%);</w:t>
      </w:r>
    </w:p>
    <w:p w:rsidR="00C02F99" w:rsidRDefault="00C02F99" w:rsidP="00C02F9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 w:rsidR="0007005A">
        <w:rPr>
          <w:rFonts w:eastAsia="Times New Roman"/>
          <w:lang w:eastAsia="ru-RU"/>
        </w:rPr>
        <w:t>2</w:t>
      </w:r>
      <w:r w:rsidRPr="00EF3C69">
        <w:rPr>
          <w:rFonts w:eastAsia="Times New Roman"/>
          <w:lang w:eastAsia="ru-RU"/>
        </w:rPr>
        <w:t xml:space="preserve"> </w:t>
      </w:r>
      <w:r w:rsidR="00B438E1">
        <w:rPr>
          <w:rFonts w:eastAsia="Times New Roman"/>
          <w:lang w:eastAsia="ru-RU"/>
        </w:rPr>
        <w:t xml:space="preserve">отрицательных </w:t>
      </w:r>
      <w:r>
        <w:rPr>
          <w:rFonts w:eastAsia="Times New Roman"/>
          <w:lang w:eastAsia="ru-RU"/>
        </w:rPr>
        <w:t>заключения (</w:t>
      </w:r>
      <w:r w:rsidR="00C70594">
        <w:rPr>
          <w:rFonts w:eastAsia="Times New Roman"/>
          <w:lang w:eastAsia="ru-RU"/>
        </w:rPr>
        <w:t>29%</w:t>
      </w:r>
      <w:r>
        <w:rPr>
          <w:rFonts w:eastAsia="Times New Roman"/>
          <w:lang w:eastAsia="ru-RU"/>
        </w:rPr>
        <w:t>)</w:t>
      </w:r>
      <w:r w:rsidRPr="00EF3C69">
        <w:rPr>
          <w:rFonts w:eastAsia="Times New Roman"/>
          <w:lang w:eastAsia="ru-RU"/>
        </w:rPr>
        <w:t>.</w:t>
      </w:r>
    </w:p>
    <w:p w:rsidR="000B1809" w:rsidRDefault="00105C02" w:rsidP="00D1621F">
      <w:pPr>
        <w:shd w:val="clear" w:color="auto" w:fill="FFFFFF"/>
        <w:tabs>
          <w:tab w:val="left" w:pos="709"/>
        </w:tabs>
        <w:spacing w:line="312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B76F15">
        <w:rPr>
          <w:rFonts w:eastAsia="Times New Roman"/>
          <w:lang w:eastAsia="ru-RU"/>
        </w:rPr>
        <w:t>Причинами вынесения отрицательных заключений стали нарушения порядка проведения ОФВ.</w:t>
      </w:r>
    </w:p>
    <w:p w:rsidR="00C52029" w:rsidRDefault="00B76F15" w:rsidP="00B76F15">
      <w:pPr>
        <w:shd w:val="clear" w:color="auto" w:fill="FFFFFF"/>
        <w:tabs>
          <w:tab w:val="left" w:pos="709"/>
        </w:tabs>
        <w:spacing w:line="312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По результатам ОФВ принято решение о сохранении действующего правового регулирования.</w:t>
      </w:r>
    </w:p>
    <w:p w:rsidR="00B51182" w:rsidRDefault="00C52029" w:rsidP="00A50B0C">
      <w:pPr>
        <w:shd w:val="clear" w:color="auto" w:fill="FFFFFF"/>
        <w:tabs>
          <w:tab w:val="left" w:pos="709"/>
        </w:tabs>
        <w:spacing w:line="312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6B1CCB" w:rsidRDefault="006B1CCB" w:rsidP="006B1CCB">
      <w:pPr>
        <w:shd w:val="clear" w:color="auto" w:fill="FFFFFF"/>
        <w:spacing w:line="312" w:lineRule="auto"/>
        <w:jc w:val="center"/>
        <w:rPr>
          <w:rFonts w:eastAsia="Times New Roman"/>
          <w:lang w:eastAsia="ru-RU"/>
        </w:rPr>
      </w:pPr>
      <w:r w:rsidRPr="00030F54">
        <w:rPr>
          <w:rFonts w:eastAsia="Times New Roman"/>
          <w:lang w:eastAsia="ru-RU"/>
        </w:rPr>
        <w:t>***</w:t>
      </w:r>
    </w:p>
    <w:p w:rsidR="0090420F" w:rsidRDefault="0090420F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 проведении процедур ОРВ, экспертизы и ОФВ особое внимание уделялось публичному обсуждению проектов и действующих НПА с</w:t>
      </w:r>
      <w:r w:rsidR="00B06DB6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 xml:space="preserve">общественностью и представителями бизнес-сообществ. </w:t>
      </w:r>
    </w:p>
    <w:p w:rsidR="00AA5452" w:rsidRDefault="000B1809" w:rsidP="000B1809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AA5452">
        <w:rPr>
          <w:rFonts w:eastAsia="Times New Roman"/>
          <w:lang w:eastAsia="ru-RU"/>
        </w:rPr>
        <w:t>Всего по итогам публичных консультаций поступило 242 предложени</w:t>
      </w:r>
      <w:r w:rsidR="00AA5452">
        <w:rPr>
          <w:rFonts w:eastAsia="Times New Roman"/>
          <w:lang w:eastAsia="ru-RU"/>
        </w:rPr>
        <w:t>я и замечания</w:t>
      </w:r>
      <w:r w:rsidRPr="00AA5452">
        <w:rPr>
          <w:rFonts w:eastAsia="Times New Roman"/>
          <w:lang w:eastAsia="ru-RU"/>
        </w:rPr>
        <w:t>, из которых</w:t>
      </w:r>
      <w:r w:rsidR="00AA5452">
        <w:rPr>
          <w:rFonts w:eastAsia="Times New Roman"/>
          <w:lang w:eastAsia="ru-RU"/>
        </w:rPr>
        <w:t>:</w:t>
      </w:r>
    </w:p>
    <w:p w:rsidR="000B1809" w:rsidRPr="00AA5452" w:rsidRDefault="000B1809" w:rsidP="000B1809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AA5452">
        <w:rPr>
          <w:rFonts w:eastAsia="Times New Roman"/>
          <w:lang w:eastAsia="ru-RU"/>
        </w:rPr>
        <w:t xml:space="preserve">44 </w:t>
      </w:r>
      <w:r w:rsidR="00AA5452" w:rsidRPr="00AA5452">
        <w:rPr>
          <w:rFonts w:eastAsia="Times New Roman"/>
          <w:lang w:eastAsia="ru-RU"/>
        </w:rPr>
        <w:t>–</w:t>
      </w:r>
      <w:r w:rsidR="00AA5452">
        <w:rPr>
          <w:rFonts w:eastAsia="Times New Roman"/>
          <w:lang w:eastAsia="ru-RU"/>
        </w:rPr>
        <w:t xml:space="preserve"> </w:t>
      </w:r>
      <w:r w:rsidRPr="00AA5452">
        <w:rPr>
          <w:rFonts w:eastAsia="Times New Roman"/>
          <w:lang w:eastAsia="ru-RU"/>
        </w:rPr>
        <w:t xml:space="preserve">были учтены при доработке НПА, </w:t>
      </w:r>
    </w:p>
    <w:p w:rsidR="00AA5452" w:rsidRDefault="000B1809" w:rsidP="000B1809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AA5452">
        <w:rPr>
          <w:rFonts w:eastAsia="Times New Roman"/>
          <w:lang w:eastAsia="ru-RU"/>
        </w:rPr>
        <w:t xml:space="preserve">198 – отклонены по причине их необоснованности или несоответствия законодательству, при этом участниками публичных консультаций доводы регулирующего органа о причинах отклонения высказанных мнений признаны обоснованными, а обсуждаемые НПА одобрены. </w:t>
      </w:r>
    </w:p>
    <w:p w:rsidR="000B1809" w:rsidRPr="00AA5452" w:rsidRDefault="000B1809" w:rsidP="000B1809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AA5452">
        <w:rPr>
          <w:rFonts w:eastAsia="Times New Roman"/>
          <w:lang w:eastAsia="ru-RU"/>
        </w:rPr>
        <w:t>Количество отзывов без предложений и замечаний, поддерживающих предлагаемое или действующее правовое регулирование, составило 316 отзывов</w:t>
      </w:r>
      <w:r w:rsidR="00C30DA0">
        <w:rPr>
          <w:rFonts w:eastAsia="Times New Roman"/>
          <w:lang w:eastAsia="ru-RU"/>
        </w:rPr>
        <w:t>, что на 33,8% больше, чем за аналогичный период 2017 года (236 отзывов)</w:t>
      </w:r>
      <w:r w:rsidRPr="00AA5452">
        <w:rPr>
          <w:rFonts w:eastAsia="Times New Roman"/>
          <w:lang w:eastAsia="ru-RU"/>
        </w:rPr>
        <w:t>.</w:t>
      </w:r>
    </w:p>
    <w:p w:rsidR="0053564F" w:rsidRPr="00765F94" w:rsidRDefault="0053564F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Наибольший интерес у участников публичных консультаций вызвали:</w:t>
      </w:r>
    </w:p>
    <w:p w:rsidR="00EA56E4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color w:val="000000" w:themeColor="text1"/>
          <w:lang w:eastAsia="ru-RU"/>
        </w:rPr>
        <w:t xml:space="preserve">проект постановления Правительства автономного округа «О внесении изменений в приложение к постановлению Правительства Ханты-Мансийского автономного округа – Югры от 9 октября 2013 года № 409-п «О содействии занятости населения в Ханты-Мансийском автономном округе – Югре </w:t>
      </w:r>
      <w:r w:rsidR="00BD2E26">
        <w:rPr>
          <w:rFonts w:eastAsia="Times New Roman"/>
          <w:color w:val="000000" w:themeColor="text1"/>
          <w:lang w:eastAsia="ru-RU"/>
        </w:rPr>
        <w:br/>
      </w:r>
      <w:r w:rsidRPr="00765F94">
        <w:rPr>
          <w:rFonts w:eastAsia="Times New Roman"/>
          <w:color w:val="000000" w:themeColor="text1"/>
          <w:lang w:eastAsia="ru-RU"/>
        </w:rPr>
        <w:t>на 2018-2025 годы и период до 2030 года»</w:t>
      </w:r>
      <w:r w:rsidR="00407E73">
        <w:rPr>
          <w:rFonts w:eastAsia="Times New Roman"/>
          <w:color w:val="000000" w:themeColor="text1"/>
          <w:lang w:eastAsia="ru-RU"/>
        </w:rPr>
        <w:t xml:space="preserve"> (32 участника, 14 отзывов, </w:t>
      </w:r>
      <w:r w:rsidR="00BD2E26">
        <w:rPr>
          <w:rFonts w:eastAsia="Times New Roman"/>
          <w:color w:val="000000" w:themeColor="text1"/>
          <w:lang w:eastAsia="ru-RU"/>
        </w:rPr>
        <w:br/>
      </w:r>
      <w:r w:rsidR="00EB104E">
        <w:rPr>
          <w:rFonts w:eastAsia="Times New Roman"/>
          <w:color w:val="000000" w:themeColor="text1"/>
          <w:lang w:eastAsia="ru-RU"/>
        </w:rPr>
        <w:t>1 из которых учтен при доработке проекта</w:t>
      </w:r>
      <w:r w:rsidR="00407E73">
        <w:rPr>
          <w:rFonts w:eastAsia="Times New Roman"/>
          <w:color w:val="000000" w:themeColor="text1"/>
          <w:lang w:eastAsia="ru-RU"/>
        </w:rPr>
        <w:t>)</w:t>
      </w:r>
      <w:r w:rsidRPr="00765F94">
        <w:rPr>
          <w:rFonts w:eastAsia="Times New Roman"/>
          <w:lang w:eastAsia="ru-RU"/>
        </w:rPr>
        <w:t>;</w:t>
      </w:r>
    </w:p>
    <w:p w:rsidR="00EA6837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проект закона автономного округа «Об установлении ограничений использования и продажи электронных систем доставки никотина на территории Ханты-Мансийского автономного округа – Югры и о внесении изменений </w:t>
      </w:r>
      <w:r w:rsidR="008E7361">
        <w:rPr>
          <w:rFonts w:eastAsia="Times New Roman"/>
          <w:lang w:eastAsia="ru-RU"/>
        </w:rPr>
        <w:br/>
      </w:r>
      <w:r w:rsidRPr="00765F94">
        <w:rPr>
          <w:rFonts w:eastAsia="Times New Roman"/>
          <w:lang w:eastAsia="ru-RU"/>
        </w:rPr>
        <w:lastRenderedPageBreak/>
        <w:t>в</w:t>
      </w:r>
      <w:r w:rsidR="0050654E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Закон Ханты-Мансийског</w:t>
      </w:r>
      <w:r w:rsidR="00BD2E26">
        <w:rPr>
          <w:rFonts w:eastAsia="Times New Roman"/>
          <w:lang w:eastAsia="ru-RU"/>
        </w:rPr>
        <w:t xml:space="preserve">о автономного округа – Югры </w:t>
      </w:r>
      <w:r w:rsidR="00161B85">
        <w:rPr>
          <w:rFonts w:eastAsia="Times New Roman"/>
          <w:lang w:eastAsia="ru-RU"/>
        </w:rPr>
        <w:br/>
      </w:r>
      <w:r w:rsidR="00BD2E26">
        <w:rPr>
          <w:rFonts w:eastAsia="Times New Roman"/>
          <w:lang w:eastAsia="ru-RU"/>
        </w:rPr>
        <w:t xml:space="preserve">«Об </w:t>
      </w:r>
      <w:r w:rsidRPr="00765F94">
        <w:rPr>
          <w:rFonts w:eastAsia="Times New Roman"/>
          <w:lang w:eastAsia="ru-RU"/>
        </w:rPr>
        <w:t>административных правонарушениях»</w:t>
      </w:r>
      <w:r w:rsidR="00407E73">
        <w:rPr>
          <w:rFonts w:eastAsia="Times New Roman"/>
          <w:lang w:eastAsia="ru-RU"/>
        </w:rPr>
        <w:t xml:space="preserve"> </w:t>
      </w:r>
      <w:r w:rsidR="00407E73">
        <w:rPr>
          <w:rFonts w:eastAsia="Times New Roman"/>
          <w:color w:val="000000" w:themeColor="text1"/>
          <w:lang w:eastAsia="ru-RU"/>
        </w:rPr>
        <w:t xml:space="preserve">(9 участников, 32 отзыва, </w:t>
      </w:r>
      <w:r w:rsidR="00161B85">
        <w:rPr>
          <w:rFonts w:eastAsia="Times New Roman"/>
          <w:color w:val="000000" w:themeColor="text1"/>
          <w:lang w:eastAsia="ru-RU"/>
        </w:rPr>
        <w:br/>
      </w:r>
      <w:r w:rsidR="00407E73">
        <w:rPr>
          <w:rFonts w:eastAsia="Times New Roman"/>
          <w:color w:val="000000" w:themeColor="text1"/>
          <w:lang w:eastAsia="ru-RU"/>
        </w:rPr>
        <w:t>3 из которых были учтены)</w:t>
      </w:r>
      <w:r w:rsidRPr="00765F94">
        <w:rPr>
          <w:rFonts w:eastAsia="Times New Roman"/>
          <w:lang w:eastAsia="ru-RU"/>
        </w:rPr>
        <w:t>;</w:t>
      </w:r>
    </w:p>
    <w:p w:rsidR="00EA6837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постановление Правительства автономного округа от 12 апреля 2010 года № 102-п «О регулировании отношений при предоставлении и пользовании участками недр местного значения на территории Ханты-Мансийского автономного округа – Югры»</w:t>
      </w:r>
      <w:r w:rsidR="00407E73">
        <w:rPr>
          <w:rFonts w:eastAsia="Times New Roman"/>
          <w:lang w:eastAsia="ru-RU"/>
        </w:rPr>
        <w:t xml:space="preserve"> </w:t>
      </w:r>
      <w:r w:rsidR="00407E73">
        <w:rPr>
          <w:rFonts w:eastAsia="Times New Roman"/>
          <w:color w:val="000000" w:themeColor="text1"/>
          <w:lang w:eastAsia="ru-RU"/>
        </w:rPr>
        <w:t>(4 участника, 12 отзывов, 3 из которых были учтены)</w:t>
      </w:r>
      <w:r w:rsidRPr="00765F94">
        <w:rPr>
          <w:rFonts w:eastAsia="Times New Roman"/>
          <w:lang w:eastAsia="ru-RU"/>
        </w:rPr>
        <w:t>;</w:t>
      </w:r>
    </w:p>
    <w:p w:rsidR="00EA6837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постановление Правительства автономного округа от 18 декабря 2015 года № 476-п «О внесении изменений в постановление Правительства Ханты-Мансийского автономного округа – Югры от 21 сентября 2005 года № 171-п «О</w:t>
      </w:r>
      <w:r w:rsidR="0050654E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>Порядке представления налогоплательщиками-организациями информации для анализа эффективности действия льгот по налогам»</w:t>
      </w:r>
      <w:r w:rsidR="00407E73">
        <w:rPr>
          <w:rFonts w:eastAsia="Times New Roman"/>
          <w:lang w:eastAsia="ru-RU"/>
        </w:rPr>
        <w:t xml:space="preserve"> </w:t>
      </w:r>
      <w:r w:rsidR="00407E73">
        <w:rPr>
          <w:rFonts w:eastAsia="Times New Roman"/>
          <w:color w:val="000000" w:themeColor="text1"/>
          <w:lang w:eastAsia="ru-RU"/>
        </w:rPr>
        <w:t>(5 участни</w:t>
      </w:r>
      <w:r w:rsidR="00EB104E">
        <w:rPr>
          <w:rFonts w:eastAsia="Times New Roman"/>
          <w:color w:val="000000" w:themeColor="text1"/>
          <w:lang w:eastAsia="ru-RU"/>
        </w:rPr>
        <w:t>ков, 4 отзыва, 1 из которых учтен</w:t>
      </w:r>
      <w:r w:rsidR="00407E73">
        <w:rPr>
          <w:rFonts w:eastAsia="Times New Roman"/>
          <w:color w:val="000000" w:themeColor="text1"/>
          <w:lang w:eastAsia="ru-RU"/>
        </w:rPr>
        <w:t>)</w:t>
      </w:r>
      <w:r w:rsidRPr="00765F94">
        <w:rPr>
          <w:rFonts w:eastAsia="Times New Roman"/>
          <w:lang w:eastAsia="ru-RU"/>
        </w:rPr>
        <w:t>.</w:t>
      </w:r>
    </w:p>
    <w:sectPr w:rsidR="00EA6837" w:rsidRPr="00765F94" w:rsidSect="005A1795">
      <w:headerReference w:type="default" r:id="rId13"/>
      <w:pgSz w:w="11907" w:h="16840" w:code="9"/>
      <w:pgMar w:top="1134" w:right="992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97" w:rsidRDefault="00135D97" w:rsidP="0053590B">
      <w:r>
        <w:separator/>
      </w:r>
    </w:p>
  </w:endnote>
  <w:endnote w:type="continuationSeparator" w:id="0">
    <w:p w:rsidR="00135D97" w:rsidRDefault="00135D97" w:rsidP="005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97" w:rsidRDefault="00135D97" w:rsidP="0053590B">
      <w:r>
        <w:separator/>
      </w:r>
    </w:p>
  </w:footnote>
  <w:footnote w:type="continuationSeparator" w:id="0">
    <w:p w:rsidR="00135D97" w:rsidRDefault="00135D97" w:rsidP="0053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98706"/>
      <w:docPartObj>
        <w:docPartGallery w:val="Page Numbers (Top of Page)"/>
        <w:docPartUnique/>
      </w:docPartObj>
    </w:sdtPr>
    <w:sdtEndPr/>
    <w:sdtContent>
      <w:p w:rsidR="006154BB" w:rsidRDefault="00615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61">
          <w:rPr>
            <w:noProof/>
          </w:rPr>
          <w:t>11</w:t>
        </w:r>
        <w:r>
          <w:fldChar w:fldCharType="end"/>
        </w:r>
      </w:p>
    </w:sdtContent>
  </w:sdt>
  <w:p w:rsidR="006154BB" w:rsidRDefault="00615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EAF"/>
    <w:multiLevelType w:val="hybridMultilevel"/>
    <w:tmpl w:val="12349FB6"/>
    <w:lvl w:ilvl="0" w:tplc="0986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8F1D88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>
    <w:nsid w:val="29E90390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>
    <w:nsid w:val="2CEE62A1"/>
    <w:multiLevelType w:val="hybridMultilevel"/>
    <w:tmpl w:val="3426F730"/>
    <w:lvl w:ilvl="0" w:tplc="FCCEEF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6E0630"/>
    <w:multiLevelType w:val="hybridMultilevel"/>
    <w:tmpl w:val="296EBFE4"/>
    <w:lvl w:ilvl="0" w:tplc="DD42D8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DE6"/>
    <w:multiLevelType w:val="hybridMultilevel"/>
    <w:tmpl w:val="19762EB6"/>
    <w:lvl w:ilvl="0" w:tplc="7BA285B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D41CB"/>
    <w:multiLevelType w:val="hybridMultilevel"/>
    <w:tmpl w:val="81DEA03A"/>
    <w:lvl w:ilvl="0" w:tplc="E48A0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B74ABC"/>
    <w:multiLevelType w:val="hybridMultilevel"/>
    <w:tmpl w:val="40BE37F2"/>
    <w:lvl w:ilvl="0" w:tplc="B126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115AE"/>
    <w:multiLevelType w:val="hybridMultilevel"/>
    <w:tmpl w:val="9A541942"/>
    <w:lvl w:ilvl="0" w:tplc="B7667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CB"/>
    <w:rsid w:val="0001447A"/>
    <w:rsid w:val="0001763F"/>
    <w:rsid w:val="00030F54"/>
    <w:rsid w:val="000350F4"/>
    <w:rsid w:val="000377B9"/>
    <w:rsid w:val="00041898"/>
    <w:rsid w:val="00062DB4"/>
    <w:rsid w:val="00063A5D"/>
    <w:rsid w:val="0007005A"/>
    <w:rsid w:val="00073EC7"/>
    <w:rsid w:val="00077BFA"/>
    <w:rsid w:val="00081ABF"/>
    <w:rsid w:val="000A62D9"/>
    <w:rsid w:val="000B1809"/>
    <w:rsid w:val="000C2340"/>
    <w:rsid w:val="000C3226"/>
    <w:rsid w:val="000D0BA7"/>
    <w:rsid w:val="000E2E4E"/>
    <w:rsid w:val="001015EC"/>
    <w:rsid w:val="0010328D"/>
    <w:rsid w:val="00103F15"/>
    <w:rsid w:val="00104839"/>
    <w:rsid w:val="00105C02"/>
    <w:rsid w:val="00110D3B"/>
    <w:rsid w:val="00112AF9"/>
    <w:rsid w:val="00116D01"/>
    <w:rsid w:val="00126B7D"/>
    <w:rsid w:val="00130E2A"/>
    <w:rsid w:val="00135D97"/>
    <w:rsid w:val="001537E7"/>
    <w:rsid w:val="00154F0C"/>
    <w:rsid w:val="00161B85"/>
    <w:rsid w:val="00176065"/>
    <w:rsid w:val="00183204"/>
    <w:rsid w:val="00184A98"/>
    <w:rsid w:val="00184CF8"/>
    <w:rsid w:val="001E0A0C"/>
    <w:rsid w:val="001E452B"/>
    <w:rsid w:val="001F6DFD"/>
    <w:rsid w:val="00205E25"/>
    <w:rsid w:val="00217334"/>
    <w:rsid w:val="002208EE"/>
    <w:rsid w:val="00223931"/>
    <w:rsid w:val="00234B36"/>
    <w:rsid w:val="00236151"/>
    <w:rsid w:val="00241861"/>
    <w:rsid w:val="00242902"/>
    <w:rsid w:val="0026310E"/>
    <w:rsid w:val="00263FCD"/>
    <w:rsid w:val="00264DC1"/>
    <w:rsid w:val="00266AF0"/>
    <w:rsid w:val="00267717"/>
    <w:rsid w:val="00274BFA"/>
    <w:rsid w:val="00291C77"/>
    <w:rsid w:val="00295756"/>
    <w:rsid w:val="00296E4F"/>
    <w:rsid w:val="002A1BDA"/>
    <w:rsid w:val="002A6492"/>
    <w:rsid w:val="002B4415"/>
    <w:rsid w:val="002C0E9A"/>
    <w:rsid w:val="002D16CC"/>
    <w:rsid w:val="002D1F9E"/>
    <w:rsid w:val="002E36C7"/>
    <w:rsid w:val="002E6978"/>
    <w:rsid w:val="002F059C"/>
    <w:rsid w:val="002F2138"/>
    <w:rsid w:val="002F285F"/>
    <w:rsid w:val="002F7713"/>
    <w:rsid w:val="003073DC"/>
    <w:rsid w:val="003167A3"/>
    <w:rsid w:val="003228EA"/>
    <w:rsid w:val="00322A14"/>
    <w:rsid w:val="0032489F"/>
    <w:rsid w:val="003435A8"/>
    <w:rsid w:val="003511D6"/>
    <w:rsid w:val="0035262D"/>
    <w:rsid w:val="00366513"/>
    <w:rsid w:val="00373A9F"/>
    <w:rsid w:val="003817E1"/>
    <w:rsid w:val="00391A1B"/>
    <w:rsid w:val="003938BC"/>
    <w:rsid w:val="003A05A0"/>
    <w:rsid w:val="003A67A3"/>
    <w:rsid w:val="003B698D"/>
    <w:rsid w:val="003C1BCB"/>
    <w:rsid w:val="003D18B6"/>
    <w:rsid w:val="003E62ED"/>
    <w:rsid w:val="003F2A02"/>
    <w:rsid w:val="00402FDF"/>
    <w:rsid w:val="00406BBF"/>
    <w:rsid w:val="00407E73"/>
    <w:rsid w:val="00407FEB"/>
    <w:rsid w:val="00413AF0"/>
    <w:rsid w:val="00415B6C"/>
    <w:rsid w:val="00427EBA"/>
    <w:rsid w:val="004363F0"/>
    <w:rsid w:val="00445ACC"/>
    <w:rsid w:val="004603D9"/>
    <w:rsid w:val="00475878"/>
    <w:rsid w:val="00495412"/>
    <w:rsid w:val="00495DC9"/>
    <w:rsid w:val="00497A7F"/>
    <w:rsid w:val="004A2517"/>
    <w:rsid w:val="004A3040"/>
    <w:rsid w:val="004A461D"/>
    <w:rsid w:val="004E3DAB"/>
    <w:rsid w:val="0050654E"/>
    <w:rsid w:val="005128B4"/>
    <w:rsid w:val="00516F14"/>
    <w:rsid w:val="0051720C"/>
    <w:rsid w:val="005338A0"/>
    <w:rsid w:val="0053525F"/>
    <w:rsid w:val="0053564F"/>
    <w:rsid w:val="0053590B"/>
    <w:rsid w:val="0054378C"/>
    <w:rsid w:val="00544C89"/>
    <w:rsid w:val="00545A4E"/>
    <w:rsid w:val="00547AE9"/>
    <w:rsid w:val="00550379"/>
    <w:rsid w:val="00560214"/>
    <w:rsid w:val="0056206D"/>
    <w:rsid w:val="00585226"/>
    <w:rsid w:val="005A079F"/>
    <w:rsid w:val="005A1795"/>
    <w:rsid w:val="005A5D68"/>
    <w:rsid w:val="005B0EC8"/>
    <w:rsid w:val="005C1CCC"/>
    <w:rsid w:val="005D4AF8"/>
    <w:rsid w:val="005E12BE"/>
    <w:rsid w:val="005E3FE3"/>
    <w:rsid w:val="005F3F6A"/>
    <w:rsid w:val="005F556C"/>
    <w:rsid w:val="005F70CE"/>
    <w:rsid w:val="005F7202"/>
    <w:rsid w:val="00602C9A"/>
    <w:rsid w:val="0061507E"/>
    <w:rsid w:val="006154BB"/>
    <w:rsid w:val="00621A9C"/>
    <w:rsid w:val="0063093D"/>
    <w:rsid w:val="00634832"/>
    <w:rsid w:val="00641421"/>
    <w:rsid w:val="006545E1"/>
    <w:rsid w:val="00655B30"/>
    <w:rsid w:val="00697FB2"/>
    <w:rsid w:val="006A282C"/>
    <w:rsid w:val="006A4408"/>
    <w:rsid w:val="006B1CCB"/>
    <w:rsid w:val="006B46D1"/>
    <w:rsid w:val="006B4E3C"/>
    <w:rsid w:val="006C0390"/>
    <w:rsid w:val="006C1027"/>
    <w:rsid w:val="006D4107"/>
    <w:rsid w:val="006D4743"/>
    <w:rsid w:val="006D4C21"/>
    <w:rsid w:val="006F15AB"/>
    <w:rsid w:val="00703425"/>
    <w:rsid w:val="00704EE8"/>
    <w:rsid w:val="00706087"/>
    <w:rsid w:val="00707AF5"/>
    <w:rsid w:val="007125D8"/>
    <w:rsid w:val="00720D92"/>
    <w:rsid w:val="007245DC"/>
    <w:rsid w:val="00725B42"/>
    <w:rsid w:val="00734146"/>
    <w:rsid w:val="00735D7F"/>
    <w:rsid w:val="00741413"/>
    <w:rsid w:val="007520F9"/>
    <w:rsid w:val="007551BF"/>
    <w:rsid w:val="00760812"/>
    <w:rsid w:val="007643E7"/>
    <w:rsid w:val="00765F94"/>
    <w:rsid w:val="00791F73"/>
    <w:rsid w:val="00793D97"/>
    <w:rsid w:val="007B4D5C"/>
    <w:rsid w:val="007B62E1"/>
    <w:rsid w:val="007C1FF9"/>
    <w:rsid w:val="007C6181"/>
    <w:rsid w:val="007C6A42"/>
    <w:rsid w:val="007D2F61"/>
    <w:rsid w:val="00802960"/>
    <w:rsid w:val="00803DA7"/>
    <w:rsid w:val="00823860"/>
    <w:rsid w:val="00823AEE"/>
    <w:rsid w:val="00825263"/>
    <w:rsid w:val="008315E0"/>
    <w:rsid w:val="00831A5C"/>
    <w:rsid w:val="008355CC"/>
    <w:rsid w:val="00835EF1"/>
    <w:rsid w:val="008742B4"/>
    <w:rsid w:val="00876F9B"/>
    <w:rsid w:val="0089554B"/>
    <w:rsid w:val="0089627F"/>
    <w:rsid w:val="008A1ECA"/>
    <w:rsid w:val="008A4919"/>
    <w:rsid w:val="008B3ED9"/>
    <w:rsid w:val="008B448B"/>
    <w:rsid w:val="008B5904"/>
    <w:rsid w:val="008C1C2C"/>
    <w:rsid w:val="008C5695"/>
    <w:rsid w:val="008E7006"/>
    <w:rsid w:val="008E7361"/>
    <w:rsid w:val="008F5991"/>
    <w:rsid w:val="008F63B2"/>
    <w:rsid w:val="00903064"/>
    <w:rsid w:val="0090420F"/>
    <w:rsid w:val="009175CC"/>
    <w:rsid w:val="0092526F"/>
    <w:rsid w:val="009260E8"/>
    <w:rsid w:val="009358DD"/>
    <w:rsid w:val="00936147"/>
    <w:rsid w:val="00940D17"/>
    <w:rsid w:val="00955BD9"/>
    <w:rsid w:val="00964209"/>
    <w:rsid w:val="009762D6"/>
    <w:rsid w:val="00983890"/>
    <w:rsid w:val="00992669"/>
    <w:rsid w:val="00992E88"/>
    <w:rsid w:val="009D41FC"/>
    <w:rsid w:val="009D7A11"/>
    <w:rsid w:val="009E1719"/>
    <w:rsid w:val="009E647D"/>
    <w:rsid w:val="009F1C83"/>
    <w:rsid w:val="00A01181"/>
    <w:rsid w:val="00A25CF8"/>
    <w:rsid w:val="00A27147"/>
    <w:rsid w:val="00A44C9A"/>
    <w:rsid w:val="00A50B0C"/>
    <w:rsid w:val="00A56C01"/>
    <w:rsid w:val="00A66689"/>
    <w:rsid w:val="00A71A5F"/>
    <w:rsid w:val="00A733D2"/>
    <w:rsid w:val="00A762BB"/>
    <w:rsid w:val="00A83995"/>
    <w:rsid w:val="00A867AE"/>
    <w:rsid w:val="00A91795"/>
    <w:rsid w:val="00AA5452"/>
    <w:rsid w:val="00AB3BD8"/>
    <w:rsid w:val="00B0134B"/>
    <w:rsid w:val="00B06DB6"/>
    <w:rsid w:val="00B12B2E"/>
    <w:rsid w:val="00B438E1"/>
    <w:rsid w:val="00B45754"/>
    <w:rsid w:val="00B46720"/>
    <w:rsid w:val="00B46F13"/>
    <w:rsid w:val="00B51182"/>
    <w:rsid w:val="00B56E1C"/>
    <w:rsid w:val="00B67746"/>
    <w:rsid w:val="00B75077"/>
    <w:rsid w:val="00B76F15"/>
    <w:rsid w:val="00B86336"/>
    <w:rsid w:val="00B86987"/>
    <w:rsid w:val="00B86C4D"/>
    <w:rsid w:val="00B974C5"/>
    <w:rsid w:val="00BA2128"/>
    <w:rsid w:val="00BA4B88"/>
    <w:rsid w:val="00BA693E"/>
    <w:rsid w:val="00BA6BE3"/>
    <w:rsid w:val="00BC39F9"/>
    <w:rsid w:val="00BC71A9"/>
    <w:rsid w:val="00BD2E26"/>
    <w:rsid w:val="00BD4A99"/>
    <w:rsid w:val="00BD70E0"/>
    <w:rsid w:val="00BE1719"/>
    <w:rsid w:val="00BE459C"/>
    <w:rsid w:val="00BE6805"/>
    <w:rsid w:val="00BF019B"/>
    <w:rsid w:val="00BF3C17"/>
    <w:rsid w:val="00C02406"/>
    <w:rsid w:val="00C02F99"/>
    <w:rsid w:val="00C07D0E"/>
    <w:rsid w:val="00C127B3"/>
    <w:rsid w:val="00C1619B"/>
    <w:rsid w:val="00C17584"/>
    <w:rsid w:val="00C241B9"/>
    <w:rsid w:val="00C277E9"/>
    <w:rsid w:val="00C30DA0"/>
    <w:rsid w:val="00C52029"/>
    <w:rsid w:val="00C54612"/>
    <w:rsid w:val="00C561A5"/>
    <w:rsid w:val="00C618E5"/>
    <w:rsid w:val="00C7000A"/>
    <w:rsid w:val="00C70594"/>
    <w:rsid w:val="00C90D58"/>
    <w:rsid w:val="00C94B8B"/>
    <w:rsid w:val="00CB3AF2"/>
    <w:rsid w:val="00CD2715"/>
    <w:rsid w:val="00CD59E1"/>
    <w:rsid w:val="00CE30ED"/>
    <w:rsid w:val="00CE5934"/>
    <w:rsid w:val="00D01D49"/>
    <w:rsid w:val="00D1621F"/>
    <w:rsid w:val="00D16869"/>
    <w:rsid w:val="00D26095"/>
    <w:rsid w:val="00D47D61"/>
    <w:rsid w:val="00D62D26"/>
    <w:rsid w:val="00D7057C"/>
    <w:rsid w:val="00D7163E"/>
    <w:rsid w:val="00D845A2"/>
    <w:rsid w:val="00D85B04"/>
    <w:rsid w:val="00D873C1"/>
    <w:rsid w:val="00D905D8"/>
    <w:rsid w:val="00D955C2"/>
    <w:rsid w:val="00DB6A91"/>
    <w:rsid w:val="00DC6ADC"/>
    <w:rsid w:val="00DD0A61"/>
    <w:rsid w:val="00DD45F3"/>
    <w:rsid w:val="00DD4802"/>
    <w:rsid w:val="00DE2530"/>
    <w:rsid w:val="00DE417E"/>
    <w:rsid w:val="00DF12A3"/>
    <w:rsid w:val="00DF58B9"/>
    <w:rsid w:val="00E075D4"/>
    <w:rsid w:val="00E22A76"/>
    <w:rsid w:val="00E2381B"/>
    <w:rsid w:val="00E2768A"/>
    <w:rsid w:val="00E40F76"/>
    <w:rsid w:val="00E435A3"/>
    <w:rsid w:val="00E44529"/>
    <w:rsid w:val="00E4530F"/>
    <w:rsid w:val="00E46F60"/>
    <w:rsid w:val="00E62B41"/>
    <w:rsid w:val="00E62C0F"/>
    <w:rsid w:val="00E71783"/>
    <w:rsid w:val="00E7424C"/>
    <w:rsid w:val="00E816E2"/>
    <w:rsid w:val="00E82FE5"/>
    <w:rsid w:val="00E854C0"/>
    <w:rsid w:val="00E86805"/>
    <w:rsid w:val="00E92189"/>
    <w:rsid w:val="00E942CB"/>
    <w:rsid w:val="00E97125"/>
    <w:rsid w:val="00EA4F00"/>
    <w:rsid w:val="00EA56E4"/>
    <w:rsid w:val="00EA6837"/>
    <w:rsid w:val="00EB0C5B"/>
    <w:rsid w:val="00EB104E"/>
    <w:rsid w:val="00EB1FE5"/>
    <w:rsid w:val="00EB70A8"/>
    <w:rsid w:val="00EC23DD"/>
    <w:rsid w:val="00EC451E"/>
    <w:rsid w:val="00ED39ED"/>
    <w:rsid w:val="00ED674C"/>
    <w:rsid w:val="00EF2855"/>
    <w:rsid w:val="00EF3C69"/>
    <w:rsid w:val="00F07365"/>
    <w:rsid w:val="00F14685"/>
    <w:rsid w:val="00F170C4"/>
    <w:rsid w:val="00F17D0F"/>
    <w:rsid w:val="00F26FF5"/>
    <w:rsid w:val="00F30929"/>
    <w:rsid w:val="00F365A0"/>
    <w:rsid w:val="00F40DB3"/>
    <w:rsid w:val="00F450C8"/>
    <w:rsid w:val="00F52DBD"/>
    <w:rsid w:val="00F568E4"/>
    <w:rsid w:val="00F575D4"/>
    <w:rsid w:val="00F60B68"/>
    <w:rsid w:val="00F664B0"/>
    <w:rsid w:val="00F73253"/>
    <w:rsid w:val="00FA3701"/>
    <w:rsid w:val="00FB7899"/>
    <w:rsid w:val="00FC79F6"/>
    <w:rsid w:val="00FD2773"/>
    <w:rsid w:val="00FF407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092592592592591E-2"/>
          <c:y val="4.1203494937582144E-2"/>
          <c:w val="0.47258801138663636"/>
          <c:h val="0.723795483714315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-1.2455558140768951E-2"/>
                  <c:y val="-2.234158230221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263903579216778E-2"/>
                  <c:y val="-3.4544690724232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77976431017662E-2"/>
                  <c:y val="7.9174478190226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93307739517635E-3"/>
                  <c:y val="1.9570956714111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756963215418965E-3"/>
                  <c:y val="4.1925376068079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0763374727412804E-3"/>
                  <c:y val="6.5333518332234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29867721758656E-3"/>
                  <c:y val="6.2722335919462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4575482169206469E-3"/>
                  <c:y val="-2.193836453262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129660098457841E-3"/>
                  <c:y val="1.96368625727951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938747861741162E-2"/>
                  <c:y val="-1.662350025630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007113383215158E-3"/>
                  <c:y val="-1.216618297162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6976061294576985E-2"/>
                  <c:y val="-8.584719861559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Депдорхоз и транспорта Югры</c:v>
                </c:pt>
                <c:pt idx="1">
                  <c:v>Депнедра и природных ресурсов Югры </c:v>
                </c:pt>
                <c:pt idx="2">
                  <c:v>Депстрой Югры</c:v>
                </c:pt>
                <c:pt idx="3">
                  <c:v>Депсоцразвития Югры</c:v>
                </c:pt>
                <c:pt idx="4">
                  <c:v>Дептруда и занятости населения Югры</c:v>
                </c:pt>
                <c:pt idx="5">
                  <c:v>Депполитики Югры</c:v>
                </c:pt>
                <c:pt idx="6">
                  <c:v>Депимущества Югры</c:v>
                </c:pt>
                <c:pt idx="7">
                  <c:v>Деппромышленности Югры</c:v>
                </c:pt>
                <c:pt idx="8">
                  <c:v>Депэкономики Югры</c:v>
                </c:pt>
                <c:pt idx="9">
                  <c:v>РСТ Югры</c:v>
                </c:pt>
                <c:pt idx="10">
                  <c:v>Депжкк и энергетики Югры</c:v>
                </c:pt>
                <c:pt idx="11">
                  <c:v>Жилстройнадзор Югры</c:v>
                </c:pt>
                <c:pt idx="12">
                  <c:v>Департамент гражданской защиты населения Югры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965895592755422"/>
          <c:y val="4.5889576302962129E-2"/>
          <c:w val="0.41789936444569625"/>
          <c:h val="0.9082208473940757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23991507430998E-2"/>
          <c:y val="4.3650793650793648E-2"/>
          <c:w val="0.68989484594680439"/>
          <c:h val="0.730158730158730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1419997659528228E-3"/>
                  <c:y val="-3.614891888513936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12805724125249E-2"/>
                  <c:y val="9.52218472690913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5252754233746261"/>
          <c:y val="0.75727846519185105"/>
          <c:w val="0.71774846615510646"/>
          <c:h val="0.2394113235845519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644967677946691E-2"/>
          <c:y val="9.4966858981336999E-2"/>
          <c:w val="0.4685377420167558"/>
          <c:h val="0.719955368482165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Депнедра и природных ресурсов Югры </c:v>
                </c:pt>
                <c:pt idx="1">
                  <c:v>Депспорта Югры</c:v>
                </c:pt>
                <c:pt idx="2">
                  <c:v>РСТ Югры</c:v>
                </c:pt>
                <c:pt idx="3">
                  <c:v>Депжкк и энергетики Югры</c:v>
                </c:pt>
                <c:pt idx="4">
                  <c:v>Жилстройнадзор Югры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63823218938454"/>
          <c:y val="4.5889576302962129E-2"/>
          <c:w val="0.33892008942381596"/>
          <c:h val="0.9082208473940757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3666235398367246E-2"/>
                  <c:y val="-0.2630884930896553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437875464539974E-2"/>
                  <c:y val="0.15428857831885406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Отрицательные заключения</c:v>
                </c:pt>
                <c:pt idx="1">
                  <c:v>Положительные заключения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9251264522167287"/>
          <c:y val="0.77754718160229974"/>
          <c:w val="0.43720311705222892"/>
          <c:h val="0.1710961129858767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4BDC-7926-480E-8357-546429B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Лебедева Елена Евгеньевна</cp:lastModifiedBy>
  <cp:revision>2</cp:revision>
  <cp:lastPrinted>2018-10-26T10:32:00Z</cp:lastPrinted>
  <dcterms:created xsi:type="dcterms:W3CDTF">2018-11-02T06:16:00Z</dcterms:created>
  <dcterms:modified xsi:type="dcterms:W3CDTF">2018-11-02T06:16:00Z</dcterms:modified>
</cp:coreProperties>
</file>