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2E" w:rsidRPr="00B72F40" w:rsidRDefault="00B72F40" w:rsidP="00232482">
      <w:pPr>
        <w:rPr>
          <w:sz w:val="26"/>
          <w:szCs w:val="26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B72F40">
        <w:rPr>
          <w:sz w:val="26"/>
          <w:szCs w:val="26"/>
        </w:rPr>
        <w:t>36632-СШ/Д26и</w:t>
      </w:r>
      <w:r>
        <w:rPr>
          <w:sz w:val="26"/>
          <w:szCs w:val="26"/>
          <w:lang w:val="en-US"/>
        </w:rPr>
        <w:t xml:space="preserve"> </w:t>
      </w:r>
      <w:bookmarkStart w:id="6" w:name="_GoBack"/>
      <w:bookmarkEnd w:id="6"/>
      <w:r>
        <w:rPr>
          <w:sz w:val="26"/>
          <w:szCs w:val="26"/>
        </w:rPr>
        <w:t>от 28.10.2019</w:t>
      </w:r>
    </w:p>
    <w:bookmarkEnd w:id="0"/>
    <w:bookmarkEnd w:id="1"/>
    <w:bookmarkEnd w:id="2"/>
    <w:bookmarkEnd w:id="3"/>
    <w:bookmarkEnd w:id="4"/>
    <w:bookmarkEnd w:id="5"/>
    <w:p w:rsidR="004B596A" w:rsidRDefault="004B596A" w:rsidP="00E4003F">
      <w:pPr>
        <w:spacing w:line="360" w:lineRule="auto"/>
        <w:jc w:val="center"/>
        <w:rPr>
          <w:sz w:val="26"/>
          <w:szCs w:val="26"/>
        </w:rPr>
      </w:pPr>
    </w:p>
    <w:p w:rsidR="00E4003F" w:rsidRPr="005B5D5F" w:rsidRDefault="00E4003F" w:rsidP="00E4003F">
      <w:pPr>
        <w:spacing w:line="360" w:lineRule="auto"/>
        <w:jc w:val="center"/>
        <w:rPr>
          <w:sz w:val="26"/>
          <w:szCs w:val="26"/>
        </w:rPr>
      </w:pPr>
      <w:r w:rsidRPr="005B5D5F">
        <w:rPr>
          <w:sz w:val="26"/>
          <w:szCs w:val="26"/>
        </w:rPr>
        <w:t xml:space="preserve">ЗАКЛЮЧЕНИЕ </w:t>
      </w:r>
    </w:p>
    <w:p w:rsidR="00CE219F" w:rsidRPr="00CE219F" w:rsidRDefault="00E4003F" w:rsidP="00F84A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5D5F">
        <w:rPr>
          <w:sz w:val="26"/>
          <w:szCs w:val="26"/>
        </w:rPr>
        <w:t>об оценке регулирующего воздействия на проект</w:t>
      </w:r>
      <w:r w:rsidR="00414296">
        <w:rPr>
          <w:sz w:val="26"/>
          <w:szCs w:val="26"/>
        </w:rPr>
        <w:t xml:space="preserve"> постановления</w:t>
      </w:r>
      <w:r w:rsidR="007C1120" w:rsidRPr="007C1120">
        <w:rPr>
          <w:sz w:val="26"/>
          <w:szCs w:val="26"/>
        </w:rPr>
        <w:t xml:space="preserve"> </w:t>
      </w:r>
      <w:r w:rsidR="00414296" w:rsidRPr="00414296">
        <w:rPr>
          <w:sz w:val="26"/>
          <w:szCs w:val="26"/>
        </w:rPr>
        <w:t xml:space="preserve">Правительства Российской Федерации «О внесении изменений в Правила предоставления коммунальных услуг собственникам и пользователям помещений в многоквартирных домах и жилых домов и иные нормативные правовые акты Российской Федерации по вопросам совершенствования организации учета электрической энергии» </w:t>
      </w:r>
    </w:p>
    <w:p w:rsidR="0089262D" w:rsidRPr="005B5D5F" w:rsidRDefault="0089262D" w:rsidP="008A7519">
      <w:pPr>
        <w:spacing w:line="360" w:lineRule="auto"/>
        <w:jc w:val="both"/>
        <w:rPr>
          <w:sz w:val="26"/>
          <w:szCs w:val="26"/>
        </w:rPr>
      </w:pPr>
    </w:p>
    <w:p w:rsidR="00E4003F" w:rsidRPr="0070605A" w:rsidRDefault="000E0B02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Минэкономразвития России</w:t>
      </w:r>
      <w:r w:rsidR="00E4003F" w:rsidRPr="0070605A">
        <w:rPr>
          <w:sz w:val="26"/>
          <w:szCs w:val="26"/>
        </w:rPr>
        <w:t xml:space="preserve">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5B5D5F" w:rsidRPr="0070605A">
        <w:rPr>
          <w:sz w:val="26"/>
          <w:szCs w:val="26"/>
        </w:rPr>
        <w:br/>
      </w:r>
      <w:r w:rsidR="00E4003F" w:rsidRPr="0070605A">
        <w:rPr>
          <w:sz w:val="26"/>
          <w:szCs w:val="26"/>
        </w:rPr>
        <w:t xml:space="preserve">от 17 декабря 2012 г. № 1318 (далее – Правила), рассмотрело проект </w:t>
      </w:r>
      <w:r w:rsidR="00B62EC9" w:rsidRPr="0070605A">
        <w:rPr>
          <w:sz w:val="26"/>
          <w:szCs w:val="26"/>
        </w:rPr>
        <w:t xml:space="preserve">постановления Правительства Российской Федерации «О внесении изменений в Правила предоставления коммунальных услуг собственникам и пользователям помещений в многоквартирных домах и жилых домов и иные нормативные правовые акты Российской Федерации </w:t>
      </w:r>
      <w:r w:rsidR="00204B59" w:rsidRPr="0070605A">
        <w:rPr>
          <w:sz w:val="26"/>
          <w:szCs w:val="26"/>
        </w:rPr>
        <w:br/>
      </w:r>
      <w:r w:rsidR="00B62EC9" w:rsidRPr="0070605A">
        <w:rPr>
          <w:sz w:val="26"/>
          <w:szCs w:val="26"/>
        </w:rPr>
        <w:t>по вопросам совершенствования организации учета электрической энергии»</w:t>
      </w:r>
      <w:r w:rsidR="002F7F2A" w:rsidRPr="0070605A">
        <w:rPr>
          <w:sz w:val="26"/>
          <w:szCs w:val="26"/>
        </w:rPr>
        <w:t xml:space="preserve"> </w:t>
      </w:r>
      <w:r w:rsidR="00E4003F" w:rsidRPr="0070605A">
        <w:rPr>
          <w:sz w:val="26"/>
          <w:szCs w:val="26"/>
        </w:rPr>
        <w:t>(далее</w:t>
      </w:r>
      <w:r w:rsidR="00522CB3" w:rsidRPr="0070605A">
        <w:rPr>
          <w:sz w:val="26"/>
          <w:szCs w:val="26"/>
        </w:rPr>
        <w:t xml:space="preserve"> </w:t>
      </w:r>
      <w:r w:rsidR="00E4003F" w:rsidRPr="0070605A">
        <w:rPr>
          <w:sz w:val="26"/>
          <w:szCs w:val="26"/>
        </w:rPr>
        <w:t xml:space="preserve">– </w:t>
      </w:r>
      <w:r w:rsidR="00755A83" w:rsidRPr="0070605A">
        <w:rPr>
          <w:sz w:val="26"/>
          <w:szCs w:val="26"/>
        </w:rPr>
        <w:t>проект акта</w:t>
      </w:r>
      <w:r w:rsidR="00DE5ACB" w:rsidRPr="0070605A">
        <w:rPr>
          <w:sz w:val="26"/>
          <w:szCs w:val="26"/>
        </w:rPr>
        <w:t>)</w:t>
      </w:r>
      <w:r w:rsidR="00E4003F" w:rsidRPr="0070605A">
        <w:rPr>
          <w:sz w:val="26"/>
          <w:szCs w:val="26"/>
        </w:rPr>
        <w:t>,</w:t>
      </w:r>
      <w:r w:rsidR="00E23CB7" w:rsidRPr="0070605A">
        <w:rPr>
          <w:sz w:val="26"/>
          <w:szCs w:val="26"/>
        </w:rPr>
        <w:t xml:space="preserve"> </w:t>
      </w:r>
      <w:r w:rsidR="00755A83" w:rsidRPr="0070605A">
        <w:rPr>
          <w:sz w:val="26"/>
          <w:szCs w:val="26"/>
        </w:rPr>
        <w:t xml:space="preserve">разработанный и направленный для подготовки настоящего заключения </w:t>
      </w:r>
      <w:r w:rsidR="00006C91" w:rsidRPr="0070605A">
        <w:rPr>
          <w:sz w:val="26"/>
          <w:szCs w:val="26"/>
        </w:rPr>
        <w:t>Мин</w:t>
      </w:r>
      <w:r w:rsidR="00B62EC9" w:rsidRPr="0070605A">
        <w:rPr>
          <w:sz w:val="26"/>
          <w:szCs w:val="26"/>
        </w:rPr>
        <w:t>энерго</w:t>
      </w:r>
      <w:r w:rsidR="00755A83" w:rsidRPr="0070605A">
        <w:rPr>
          <w:sz w:val="26"/>
          <w:szCs w:val="26"/>
        </w:rPr>
        <w:t xml:space="preserve"> России (далее – разработчик),</w:t>
      </w:r>
      <w:r w:rsidR="00006C91" w:rsidRPr="0070605A">
        <w:rPr>
          <w:sz w:val="26"/>
          <w:szCs w:val="26"/>
        </w:rPr>
        <w:t xml:space="preserve"> </w:t>
      </w:r>
      <w:r w:rsidR="00755A83" w:rsidRPr="0070605A">
        <w:rPr>
          <w:sz w:val="26"/>
          <w:szCs w:val="26"/>
        </w:rPr>
        <w:t>и сообщает следующее.</w:t>
      </w:r>
    </w:p>
    <w:p w:rsidR="00A749BB" w:rsidRPr="0070605A" w:rsidRDefault="00236911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6D6010" w:rsidRPr="0070605A">
        <w:rPr>
          <w:sz w:val="26"/>
          <w:szCs w:val="26"/>
        </w:rPr>
        <w:t xml:space="preserve">проект акта </w:t>
      </w:r>
      <w:r w:rsidR="00B63DD5" w:rsidRPr="0070605A">
        <w:rPr>
          <w:sz w:val="26"/>
          <w:szCs w:val="26"/>
        </w:rPr>
        <w:t xml:space="preserve">разработан </w:t>
      </w:r>
      <w:r w:rsidR="007C1120" w:rsidRPr="0070605A">
        <w:rPr>
          <w:sz w:val="26"/>
          <w:szCs w:val="26"/>
        </w:rPr>
        <w:t xml:space="preserve">в соответствии </w:t>
      </w:r>
      <w:r w:rsidR="00812F7C" w:rsidRPr="0070605A">
        <w:rPr>
          <w:sz w:val="26"/>
          <w:szCs w:val="26"/>
        </w:rPr>
        <w:br/>
      </w:r>
      <w:r w:rsidR="007C1120" w:rsidRPr="0070605A">
        <w:rPr>
          <w:sz w:val="26"/>
          <w:szCs w:val="26"/>
        </w:rPr>
        <w:t xml:space="preserve">с </w:t>
      </w:r>
      <w:r w:rsidR="00B62EC9" w:rsidRPr="0070605A">
        <w:rPr>
          <w:sz w:val="26"/>
          <w:szCs w:val="26"/>
        </w:rPr>
        <w:t>положениями Федерального закона от 27 декабря 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</w:r>
      <w:r w:rsidR="005B7AD2" w:rsidRPr="0070605A">
        <w:rPr>
          <w:sz w:val="26"/>
          <w:szCs w:val="26"/>
        </w:rPr>
        <w:t xml:space="preserve"> (далее – Закон № 522-ФЗ)</w:t>
      </w:r>
      <w:r w:rsidR="006A19A8" w:rsidRPr="0070605A">
        <w:rPr>
          <w:sz w:val="26"/>
          <w:szCs w:val="26"/>
        </w:rPr>
        <w:t xml:space="preserve">. </w:t>
      </w:r>
    </w:p>
    <w:p w:rsidR="009818C6" w:rsidRPr="0070605A" w:rsidRDefault="00E4003F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Согласно пункт</w:t>
      </w:r>
      <w:r w:rsidR="003C3FC8" w:rsidRPr="0070605A">
        <w:rPr>
          <w:sz w:val="26"/>
          <w:szCs w:val="26"/>
        </w:rPr>
        <w:t>у</w:t>
      </w:r>
      <w:r w:rsidR="00E030E2" w:rsidRPr="0070605A">
        <w:rPr>
          <w:sz w:val="26"/>
          <w:szCs w:val="26"/>
        </w:rPr>
        <w:t xml:space="preserve"> </w:t>
      </w:r>
      <w:r w:rsidRPr="0070605A">
        <w:rPr>
          <w:sz w:val="26"/>
          <w:szCs w:val="26"/>
        </w:rPr>
        <w:t>1.6 сводного отчета</w:t>
      </w:r>
      <w:r w:rsidR="00236911" w:rsidRPr="0070605A">
        <w:rPr>
          <w:sz w:val="26"/>
          <w:szCs w:val="26"/>
        </w:rPr>
        <w:t xml:space="preserve"> </w:t>
      </w:r>
      <w:r w:rsidR="008A7519" w:rsidRPr="0070605A">
        <w:rPr>
          <w:sz w:val="26"/>
          <w:szCs w:val="26"/>
        </w:rPr>
        <w:t xml:space="preserve">целью </w:t>
      </w:r>
      <w:r w:rsidRPr="0070605A">
        <w:rPr>
          <w:sz w:val="26"/>
          <w:szCs w:val="26"/>
        </w:rPr>
        <w:t>проект</w:t>
      </w:r>
      <w:r w:rsidR="008A7519" w:rsidRPr="0070605A">
        <w:rPr>
          <w:sz w:val="26"/>
          <w:szCs w:val="26"/>
        </w:rPr>
        <w:t>а</w:t>
      </w:r>
      <w:r w:rsidRPr="0070605A">
        <w:rPr>
          <w:sz w:val="26"/>
          <w:szCs w:val="26"/>
        </w:rPr>
        <w:t xml:space="preserve"> акта</w:t>
      </w:r>
      <w:r w:rsidR="00E030E2" w:rsidRPr="0070605A">
        <w:rPr>
          <w:sz w:val="26"/>
          <w:szCs w:val="26"/>
        </w:rPr>
        <w:t xml:space="preserve"> </w:t>
      </w:r>
      <w:r w:rsidR="008A7519" w:rsidRPr="0070605A">
        <w:rPr>
          <w:sz w:val="26"/>
          <w:szCs w:val="26"/>
        </w:rPr>
        <w:t>является</w:t>
      </w:r>
      <w:r w:rsidR="006A19A8" w:rsidRPr="0070605A">
        <w:rPr>
          <w:sz w:val="26"/>
          <w:szCs w:val="26"/>
        </w:rPr>
        <w:t xml:space="preserve"> </w:t>
      </w:r>
      <w:r w:rsidR="00B62EC9" w:rsidRPr="0070605A">
        <w:rPr>
          <w:sz w:val="26"/>
          <w:szCs w:val="26"/>
        </w:rPr>
        <w:t>совершенствование взаимоотношений в части организации учета электрической энергии</w:t>
      </w:r>
      <w:r w:rsidR="009C1940" w:rsidRPr="0070605A">
        <w:rPr>
          <w:sz w:val="26"/>
          <w:szCs w:val="26"/>
        </w:rPr>
        <w:t>.</w:t>
      </w:r>
    </w:p>
    <w:p w:rsidR="00E4003F" w:rsidRPr="0070605A" w:rsidRDefault="00E4003F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Разработчиком проведены публичные обсуждения проекта акта и сводного отчета</w:t>
      </w:r>
      <w:r w:rsidR="00964692" w:rsidRPr="0070605A">
        <w:rPr>
          <w:sz w:val="26"/>
          <w:szCs w:val="26"/>
        </w:rPr>
        <w:t xml:space="preserve"> </w:t>
      </w:r>
      <w:r w:rsidR="005B5D5F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в срок с </w:t>
      </w:r>
      <w:r w:rsidR="00B62EC9" w:rsidRPr="0070605A">
        <w:rPr>
          <w:sz w:val="26"/>
          <w:szCs w:val="26"/>
        </w:rPr>
        <w:t>20 августа</w:t>
      </w:r>
      <w:r w:rsidR="009C4D03" w:rsidRPr="0070605A">
        <w:rPr>
          <w:sz w:val="26"/>
          <w:szCs w:val="26"/>
        </w:rPr>
        <w:t xml:space="preserve"> </w:t>
      </w:r>
      <w:r w:rsidR="00F35A9A" w:rsidRPr="0070605A">
        <w:rPr>
          <w:sz w:val="26"/>
          <w:szCs w:val="26"/>
        </w:rPr>
        <w:t xml:space="preserve">по </w:t>
      </w:r>
      <w:r w:rsidR="00B62EC9" w:rsidRPr="0070605A">
        <w:rPr>
          <w:sz w:val="26"/>
          <w:szCs w:val="26"/>
        </w:rPr>
        <w:t>16 сентября</w:t>
      </w:r>
      <w:r w:rsidR="00110983" w:rsidRPr="0070605A">
        <w:rPr>
          <w:sz w:val="26"/>
          <w:szCs w:val="26"/>
        </w:rPr>
        <w:t xml:space="preserve"> 201</w:t>
      </w:r>
      <w:r w:rsidR="0070344B" w:rsidRPr="0070605A">
        <w:rPr>
          <w:sz w:val="26"/>
          <w:szCs w:val="26"/>
        </w:rPr>
        <w:t>9</w:t>
      </w:r>
      <w:r w:rsidRPr="0070605A">
        <w:rPr>
          <w:sz w:val="26"/>
          <w:szCs w:val="26"/>
        </w:rPr>
        <w:t xml:space="preserve"> года.</w:t>
      </w:r>
    </w:p>
    <w:p w:rsidR="00E4003F" w:rsidRPr="0070605A" w:rsidRDefault="00E4003F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</w:t>
      </w:r>
      <w:r w:rsidR="00607614" w:rsidRPr="0070605A">
        <w:rPr>
          <w:sz w:val="26"/>
          <w:szCs w:val="26"/>
        </w:rPr>
        <w:t xml:space="preserve"> </w:t>
      </w:r>
      <w:r w:rsidR="006D6010" w:rsidRPr="0070605A">
        <w:rPr>
          <w:sz w:val="26"/>
          <w:szCs w:val="26"/>
        </w:rPr>
        <w:t>02/0</w:t>
      </w:r>
      <w:r w:rsidR="00B62EC9" w:rsidRPr="0070605A">
        <w:rPr>
          <w:sz w:val="26"/>
          <w:szCs w:val="26"/>
        </w:rPr>
        <w:t>7</w:t>
      </w:r>
      <w:r w:rsidR="002231A4" w:rsidRPr="0070605A">
        <w:rPr>
          <w:sz w:val="26"/>
          <w:szCs w:val="26"/>
        </w:rPr>
        <w:t>/0</w:t>
      </w:r>
      <w:r w:rsidR="00B62EC9" w:rsidRPr="0070605A">
        <w:rPr>
          <w:sz w:val="26"/>
          <w:szCs w:val="26"/>
        </w:rPr>
        <w:t>3</w:t>
      </w:r>
      <w:r w:rsidR="002231A4" w:rsidRPr="0070605A">
        <w:rPr>
          <w:sz w:val="26"/>
          <w:szCs w:val="26"/>
        </w:rPr>
        <w:t>-19</w:t>
      </w:r>
      <w:r w:rsidR="006D6010" w:rsidRPr="0070605A">
        <w:rPr>
          <w:sz w:val="26"/>
          <w:szCs w:val="26"/>
        </w:rPr>
        <w:t>/000</w:t>
      </w:r>
      <w:r w:rsidR="00B62EC9" w:rsidRPr="0070605A">
        <w:rPr>
          <w:sz w:val="26"/>
          <w:szCs w:val="26"/>
        </w:rPr>
        <w:t>89489</w:t>
      </w:r>
      <w:r w:rsidRPr="0070605A">
        <w:rPr>
          <w:sz w:val="26"/>
          <w:szCs w:val="26"/>
        </w:rPr>
        <w:t>).</w:t>
      </w:r>
    </w:p>
    <w:p w:rsidR="001A6C19" w:rsidRPr="0070605A" w:rsidRDefault="00E4003F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Проект акт</w:t>
      </w:r>
      <w:r w:rsidR="00964692" w:rsidRPr="0070605A">
        <w:rPr>
          <w:sz w:val="26"/>
          <w:szCs w:val="26"/>
        </w:rPr>
        <w:t>а</w:t>
      </w:r>
      <w:r w:rsidRPr="0070605A">
        <w:rPr>
          <w:sz w:val="26"/>
          <w:szCs w:val="26"/>
        </w:rPr>
        <w:t xml:space="preserve"> направлен разработчиком для подготовки настоящего заключения впервые.</w:t>
      </w:r>
      <w:r w:rsidR="001A6C19" w:rsidRPr="0070605A">
        <w:rPr>
          <w:sz w:val="26"/>
          <w:szCs w:val="26"/>
        </w:rPr>
        <w:t xml:space="preserve"> </w:t>
      </w:r>
    </w:p>
    <w:p w:rsidR="001A6C19" w:rsidRPr="0070605A" w:rsidRDefault="001A6C19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lastRenderedPageBreak/>
        <w:t>В соответствии с пунктом 7 сводного отчета проектируемое регулирование затрагивает интересы порядка 1600 сетевых организаций, 350 гарантирующих поставщиков</w:t>
      </w:r>
      <w:r w:rsidR="000E07AB" w:rsidRPr="0070605A">
        <w:rPr>
          <w:sz w:val="26"/>
          <w:szCs w:val="26"/>
        </w:rPr>
        <w:t xml:space="preserve"> и </w:t>
      </w:r>
      <w:r w:rsidRPr="0070605A">
        <w:rPr>
          <w:sz w:val="26"/>
          <w:szCs w:val="26"/>
        </w:rPr>
        <w:t>80 000 потребителей электрической энергии и исполнителей коммунальных услуг.</w:t>
      </w:r>
    </w:p>
    <w:p w:rsidR="001A6C19" w:rsidRPr="0070605A" w:rsidRDefault="001A6C19" w:rsidP="0070605A">
      <w:pPr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Проектом акта предусматривается внесение изменени</w:t>
      </w:r>
      <w:r w:rsidR="00463486">
        <w:rPr>
          <w:sz w:val="26"/>
          <w:szCs w:val="26"/>
        </w:rPr>
        <w:t>й</w:t>
      </w:r>
      <w:r w:rsidRPr="0070605A">
        <w:rPr>
          <w:sz w:val="26"/>
          <w:szCs w:val="26"/>
        </w:rPr>
        <w:t xml:space="preserve"> в постановления Правительства Российской Федерации от 14 февраля 2012 г. № 124 «О правилах, обязательных при заключении договоров снабжения коммунальными ресурсами»</w:t>
      </w:r>
      <w:r w:rsidR="00463486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(далее – Правила № 124), от 6 мая 2011 г. № 354 «О предоставлении коммунальных услуг собственникам и пользователям помещений в многоквартирных домах и жилых домов» (далее – Правила № 354),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по производству электрической энергии, а также объектов электросетевого хозяйства, принадлежащих сетевым организациям и ин</w:t>
      </w:r>
      <w:r w:rsidR="00F477B8" w:rsidRPr="0070605A">
        <w:rPr>
          <w:sz w:val="26"/>
          <w:szCs w:val="26"/>
        </w:rPr>
        <w:t>ым лицам, к электрическим сетям»</w:t>
      </w:r>
      <w:r w:rsidR="00463486">
        <w:rPr>
          <w:sz w:val="26"/>
          <w:szCs w:val="26"/>
        </w:rPr>
        <w:br/>
      </w:r>
      <w:r w:rsidR="00F477B8" w:rsidRPr="0070605A">
        <w:rPr>
          <w:sz w:val="26"/>
          <w:szCs w:val="26"/>
        </w:rPr>
        <w:t>(далее – Правила 861).</w:t>
      </w:r>
    </w:p>
    <w:p w:rsidR="00696D13" w:rsidRPr="0070605A" w:rsidRDefault="00E4003F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По результатам рассмотрения проекта акта и сводного отчета установлено,</w:t>
      </w:r>
      <w:r w:rsidR="00812F7C" w:rsidRPr="0070605A">
        <w:rPr>
          <w:sz w:val="26"/>
          <w:szCs w:val="26"/>
        </w:rPr>
        <w:t xml:space="preserve"> </w:t>
      </w:r>
      <w:r w:rsidRPr="0070605A">
        <w:rPr>
          <w:sz w:val="26"/>
          <w:szCs w:val="26"/>
        </w:rPr>
        <w:t xml:space="preserve">что при подготовке проекта акта процедуры, предусмотренные </w:t>
      </w:r>
      <w:hyperlink r:id="rId8" w:history="1">
        <w:r w:rsidRPr="0070605A">
          <w:rPr>
            <w:sz w:val="26"/>
            <w:szCs w:val="26"/>
          </w:rPr>
          <w:t>пунктами 9</w:t>
        </w:r>
      </w:hyperlink>
      <w:r w:rsidRPr="0070605A">
        <w:rPr>
          <w:sz w:val="26"/>
          <w:szCs w:val="26"/>
        </w:rPr>
        <w:t xml:space="preserve"> – </w:t>
      </w:r>
      <w:hyperlink r:id="rId9" w:history="1">
        <w:r w:rsidRPr="0070605A">
          <w:rPr>
            <w:sz w:val="26"/>
            <w:szCs w:val="26"/>
          </w:rPr>
          <w:t>23</w:t>
        </w:r>
      </w:hyperlink>
      <w:r w:rsidRPr="0070605A">
        <w:rPr>
          <w:sz w:val="26"/>
          <w:szCs w:val="26"/>
        </w:rPr>
        <w:t xml:space="preserve"> Правил, разработчиком соблюдены.</w:t>
      </w:r>
    </w:p>
    <w:p w:rsidR="00207C80" w:rsidRPr="0070605A" w:rsidRDefault="00207C80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</w:t>
      </w:r>
      <w:r w:rsidR="00B62EC9" w:rsidRPr="0070605A">
        <w:rPr>
          <w:sz w:val="26"/>
          <w:szCs w:val="26"/>
        </w:rPr>
        <w:t>9</w:t>
      </w:r>
      <w:r w:rsidRPr="0070605A">
        <w:rPr>
          <w:sz w:val="26"/>
          <w:szCs w:val="26"/>
        </w:rPr>
        <w:t xml:space="preserve"> по </w:t>
      </w:r>
      <w:r w:rsidR="00B62EC9" w:rsidRPr="0070605A">
        <w:rPr>
          <w:sz w:val="26"/>
          <w:szCs w:val="26"/>
        </w:rPr>
        <w:t>17</w:t>
      </w:r>
      <w:r w:rsidRPr="0070605A">
        <w:rPr>
          <w:sz w:val="26"/>
          <w:szCs w:val="26"/>
        </w:rPr>
        <w:t xml:space="preserve"> октября 2019 года.</w:t>
      </w:r>
    </w:p>
    <w:p w:rsidR="007E4858" w:rsidRPr="0070605A" w:rsidRDefault="00207C80" w:rsidP="0070605A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По итогам проведения публичных консультаций по проекту акта </w:t>
      </w:r>
      <w:r w:rsidR="00812F7C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в Минэкономразвития России поступили позиции</w:t>
      </w:r>
      <w:r w:rsidR="00B62EC9" w:rsidRPr="0070605A">
        <w:rPr>
          <w:sz w:val="26"/>
          <w:szCs w:val="26"/>
        </w:rPr>
        <w:t xml:space="preserve"> </w:t>
      </w:r>
      <w:r w:rsidR="00C34C19" w:rsidRPr="0070605A">
        <w:rPr>
          <w:sz w:val="26"/>
          <w:szCs w:val="26"/>
        </w:rPr>
        <w:t>Министерства экономического развития и поддержки предпринимательства Кировской области,</w:t>
      </w:r>
      <w:r w:rsidR="0055341F" w:rsidRPr="0070605A">
        <w:rPr>
          <w:sz w:val="26"/>
          <w:szCs w:val="26"/>
        </w:rPr>
        <w:t xml:space="preserve"> Министерства экономического развития Хабаровского края,</w:t>
      </w:r>
      <w:r w:rsidR="00C34C19" w:rsidRPr="0070605A">
        <w:rPr>
          <w:sz w:val="26"/>
          <w:szCs w:val="26"/>
        </w:rPr>
        <w:t xml:space="preserve"> Министерства строительства, архитектуры и жилищно-коммунального хозяйства Республики Марий Эл, Министерства строительства </w:t>
      </w:r>
      <w:r w:rsidR="00812F7C" w:rsidRPr="0070605A">
        <w:rPr>
          <w:sz w:val="26"/>
          <w:szCs w:val="26"/>
        </w:rPr>
        <w:br/>
      </w:r>
      <w:r w:rsidR="00C34C19" w:rsidRPr="0070605A">
        <w:rPr>
          <w:sz w:val="26"/>
          <w:szCs w:val="26"/>
        </w:rPr>
        <w:t xml:space="preserve">и жилищно-коммунального хозяйства Чеченской Республики, Министерства образования и науки Чеченской Республики, Министерства жилищно-коммунального хозяйства </w:t>
      </w:r>
      <w:r w:rsidR="00812F7C" w:rsidRPr="0070605A">
        <w:rPr>
          <w:sz w:val="26"/>
          <w:szCs w:val="26"/>
        </w:rPr>
        <w:br/>
      </w:r>
      <w:r w:rsidR="00C34C19" w:rsidRPr="0070605A">
        <w:rPr>
          <w:sz w:val="26"/>
          <w:szCs w:val="26"/>
        </w:rPr>
        <w:t xml:space="preserve">и топливно-энергетического комплекса Новгородской области, Министерства цифровой экономики и конкуренции Ульяновской области, Министерства Чеченской Республики </w:t>
      </w:r>
      <w:r w:rsidR="00812F7C" w:rsidRPr="0070605A">
        <w:rPr>
          <w:sz w:val="26"/>
          <w:szCs w:val="26"/>
        </w:rPr>
        <w:br/>
      </w:r>
      <w:r w:rsidR="00C34C19" w:rsidRPr="0070605A">
        <w:rPr>
          <w:sz w:val="26"/>
          <w:szCs w:val="26"/>
        </w:rPr>
        <w:lastRenderedPageBreak/>
        <w:t>по национальной политике, внешним связям, печати и информации,</w:t>
      </w:r>
      <w:r w:rsidR="00B62EC9" w:rsidRPr="0070605A">
        <w:rPr>
          <w:sz w:val="26"/>
          <w:szCs w:val="26"/>
        </w:rPr>
        <w:t xml:space="preserve"> </w:t>
      </w:r>
      <w:r w:rsidR="0055341F" w:rsidRPr="0070605A">
        <w:rPr>
          <w:sz w:val="26"/>
          <w:szCs w:val="26"/>
        </w:rPr>
        <w:t xml:space="preserve">Департамента экономического развития Белгородской области, </w:t>
      </w:r>
      <w:r w:rsidR="00364CB4" w:rsidRPr="0070605A">
        <w:rPr>
          <w:sz w:val="26"/>
          <w:szCs w:val="26"/>
        </w:rPr>
        <w:t xml:space="preserve">Департамента по государственно-правовым вопросам и законопроектной деятельности Томской области, </w:t>
      </w:r>
      <w:r w:rsidR="00000DE6" w:rsidRPr="0070605A">
        <w:rPr>
          <w:sz w:val="26"/>
          <w:szCs w:val="26"/>
        </w:rPr>
        <w:t xml:space="preserve">Управления энергетики и тарифов Липецкой области, </w:t>
      </w:r>
      <w:r w:rsidR="00C34C19" w:rsidRPr="0070605A">
        <w:rPr>
          <w:sz w:val="26"/>
          <w:szCs w:val="26"/>
        </w:rPr>
        <w:t xml:space="preserve">Государственного органа Новгородской области «Уполномоченный по защите прав предпринимателей в Новгородской области и его аппарат», </w:t>
      </w:r>
      <w:r w:rsidR="00364CB4" w:rsidRPr="0070605A">
        <w:rPr>
          <w:sz w:val="26"/>
          <w:szCs w:val="26"/>
        </w:rPr>
        <w:t xml:space="preserve">Государственного комитета энергетики и тарифного регулирования </w:t>
      </w:r>
      <w:r w:rsidR="00985C8C" w:rsidRPr="0070605A">
        <w:rPr>
          <w:sz w:val="26"/>
          <w:szCs w:val="26"/>
        </w:rPr>
        <w:t xml:space="preserve">Республики Хакасия, </w:t>
      </w:r>
      <w:r w:rsidR="00C34C19" w:rsidRPr="0070605A">
        <w:rPr>
          <w:sz w:val="26"/>
          <w:szCs w:val="26"/>
        </w:rPr>
        <w:t>Государственной жилищной инспекции Чувашской Республики, ПАО «МОЭК»,</w:t>
      </w:r>
      <w:r w:rsidRPr="0070605A">
        <w:rPr>
          <w:sz w:val="26"/>
          <w:szCs w:val="26"/>
        </w:rPr>
        <w:t xml:space="preserve"> не содержащие замечаний и предложений в отношении предлагаемого регулирования</w:t>
      </w:r>
      <w:r w:rsidR="00B62EC9" w:rsidRPr="0070605A">
        <w:rPr>
          <w:sz w:val="26"/>
          <w:szCs w:val="26"/>
        </w:rPr>
        <w:t xml:space="preserve">, </w:t>
      </w:r>
      <w:r w:rsidR="00812F7C" w:rsidRPr="0070605A">
        <w:rPr>
          <w:sz w:val="26"/>
          <w:szCs w:val="26"/>
        </w:rPr>
        <w:br/>
      </w:r>
      <w:r w:rsidR="00C34C19" w:rsidRPr="0070605A">
        <w:rPr>
          <w:sz w:val="26"/>
          <w:szCs w:val="26"/>
        </w:rPr>
        <w:t xml:space="preserve">а также позиции </w:t>
      </w:r>
      <w:r w:rsidR="00364CB4" w:rsidRPr="0070605A">
        <w:rPr>
          <w:sz w:val="26"/>
          <w:szCs w:val="26"/>
        </w:rPr>
        <w:t>Министерства экономики Удмуртской Республики,</w:t>
      </w:r>
      <w:r w:rsidR="001A6C19" w:rsidRPr="0070605A">
        <w:rPr>
          <w:sz w:val="26"/>
          <w:szCs w:val="26"/>
        </w:rPr>
        <w:t xml:space="preserve"> Министерства топливно-энергетического и жилищно-коммунального хозяйства Архангельской области, </w:t>
      </w:r>
      <w:r w:rsidR="00000DE6" w:rsidRPr="0070605A">
        <w:rPr>
          <w:sz w:val="26"/>
          <w:szCs w:val="26"/>
        </w:rPr>
        <w:t xml:space="preserve">Комитета по экономике и развитию Курской области, </w:t>
      </w:r>
      <w:r w:rsidR="00364CB4" w:rsidRPr="0070605A">
        <w:rPr>
          <w:sz w:val="26"/>
          <w:szCs w:val="26"/>
        </w:rPr>
        <w:t xml:space="preserve">Государственной жилищной инспекции Тюменской области, Государственной жилищной инспекции Нижегородской области, </w:t>
      </w:r>
      <w:r w:rsidR="0055341F" w:rsidRPr="0070605A">
        <w:rPr>
          <w:sz w:val="26"/>
          <w:szCs w:val="26"/>
        </w:rPr>
        <w:t>ПАО «Интер РАО»</w:t>
      </w:r>
      <w:r w:rsidR="00C34C19" w:rsidRPr="0070605A">
        <w:rPr>
          <w:sz w:val="26"/>
          <w:szCs w:val="26"/>
        </w:rPr>
        <w:t>,</w:t>
      </w:r>
      <w:r w:rsidR="0055341F" w:rsidRPr="0070605A">
        <w:rPr>
          <w:sz w:val="26"/>
          <w:szCs w:val="26"/>
        </w:rPr>
        <w:t xml:space="preserve"> АО «ЭнергосбыТ Плюс», </w:t>
      </w:r>
      <w:r w:rsidR="00C7267C" w:rsidRPr="0070605A">
        <w:rPr>
          <w:sz w:val="26"/>
          <w:szCs w:val="26"/>
        </w:rPr>
        <w:t xml:space="preserve">ПАО «РусГидро», ООО УК «ДОМС», </w:t>
      </w:r>
      <w:r w:rsidR="00857D32" w:rsidRPr="0070605A">
        <w:rPr>
          <w:sz w:val="26"/>
          <w:szCs w:val="26"/>
        </w:rPr>
        <w:t>содержащие</w:t>
      </w:r>
      <w:r w:rsidR="000E07AB" w:rsidRPr="0070605A">
        <w:rPr>
          <w:sz w:val="26"/>
          <w:szCs w:val="26"/>
        </w:rPr>
        <w:t xml:space="preserve"> отдельные</w:t>
      </w:r>
      <w:r w:rsidR="00812F7C" w:rsidRPr="0070605A">
        <w:rPr>
          <w:sz w:val="26"/>
          <w:szCs w:val="26"/>
        </w:rPr>
        <w:t xml:space="preserve"> замечания</w:t>
      </w:r>
      <w:r w:rsidR="00857D32" w:rsidRPr="0070605A">
        <w:rPr>
          <w:sz w:val="26"/>
          <w:szCs w:val="26"/>
        </w:rPr>
        <w:t xml:space="preserve"> в отношении предлагаемого проектом акта регулирования, учтенны</w:t>
      </w:r>
      <w:r w:rsidR="000E07AB" w:rsidRPr="0070605A">
        <w:rPr>
          <w:sz w:val="26"/>
          <w:szCs w:val="26"/>
        </w:rPr>
        <w:t>е</w:t>
      </w:r>
      <w:r w:rsidR="00857D32" w:rsidRPr="0070605A">
        <w:rPr>
          <w:sz w:val="26"/>
          <w:szCs w:val="26"/>
        </w:rPr>
        <w:t xml:space="preserve"> в настоящем заключении, а также ряд предложений (прилагаются), рекомендуемых к рассмотрению разработчиком в целях их возможного учета.</w:t>
      </w:r>
    </w:p>
    <w:p w:rsidR="00EE3DF1" w:rsidRPr="0070605A" w:rsidRDefault="00F477B8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</w:t>
      </w:r>
      <w:r w:rsidR="00EE3DF1" w:rsidRPr="0070605A">
        <w:rPr>
          <w:sz w:val="26"/>
          <w:szCs w:val="26"/>
        </w:rPr>
        <w:t>о резуль</w:t>
      </w:r>
      <w:r w:rsidR="007E4858" w:rsidRPr="0070605A">
        <w:rPr>
          <w:sz w:val="26"/>
          <w:szCs w:val="26"/>
        </w:rPr>
        <w:t>татам рассмотрения проекта акта и</w:t>
      </w:r>
      <w:r w:rsidR="00EE3DF1" w:rsidRPr="0070605A">
        <w:rPr>
          <w:sz w:val="26"/>
          <w:szCs w:val="26"/>
        </w:rPr>
        <w:t xml:space="preserve"> сводного отчета Минэкономразвития России обращает внимание на наличие следующих замечаний к положениям проекта акта. </w:t>
      </w:r>
    </w:p>
    <w:p w:rsidR="00B62EC9" w:rsidRPr="0070605A" w:rsidRDefault="00F477B8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Правила № 124, Правила № 354 </w:t>
      </w:r>
      <w:r w:rsidR="00B24C86" w:rsidRPr="0070605A">
        <w:rPr>
          <w:sz w:val="26"/>
          <w:szCs w:val="26"/>
        </w:rPr>
        <w:t xml:space="preserve">дополняются определениями </w:t>
      </w:r>
      <w:r w:rsidR="003A0E28" w:rsidRPr="0070605A">
        <w:rPr>
          <w:sz w:val="26"/>
          <w:szCs w:val="26"/>
        </w:rPr>
        <w:t>терминов</w:t>
      </w:r>
      <w:r w:rsidR="00B24C86" w:rsidRPr="0070605A">
        <w:rPr>
          <w:sz w:val="26"/>
          <w:szCs w:val="26"/>
        </w:rPr>
        <w:t xml:space="preserve"> «гарантирующий поставщик» и «интеллектуальная система учета электрической энергии (интеллектуальная система учета)», которые даны в статье 3 Федерального закона </w:t>
      </w:r>
      <w:r w:rsidR="00B24C86" w:rsidRPr="0070605A">
        <w:rPr>
          <w:sz w:val="26"/>
          <w:szCs w:val="26"/>
        </w:rPr>
        <w:br/>
        <w:t>от 26 марта 2003 г. № 35-ФЗ «Об электроэнергетике»</w:t>
      </w:r>
      <w:r w:rsidR="005A67EF" w:rsidRPr="0070605A">
        <w:rPr>
          <w:sz w:val="26"/>
          <w:szCs w:val="26"/>
        </w:rPr>
        <w:t xml:space="preserve"> (далее – Закон № 35).</w:t>
      </w:r>
    </w:p>
    <w:p w:rsidR="005A67EF" w:rsidRPr="0070605A" w:rsidRDefault="005A67EF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При этом определение </w:t>
      </w:r>
      <w:r w:rsidR="003A0E28" w:rsidRPr="0070605A">
        <w:rPr>
          <w:sz w:val="26"/>
          <w:szCs w:val="26"/>
        </w:rPr>
        <w:t>термина</w:t>
      </w:r>
      <w:r w:rsidRPr="0070605A">
        <w:rPr>
          <w:sz w:val="26"/>
          <w:szCs w:val="26"/>
        </w:rPr>
        <w:t xml:space="preserve"> «интеллектуальная система учета электрической энергии (интеллектуальная система учета)» в редакции проекта акта полностью дублирует определение, установленное в Законе № 35, определение понятия «гарантирующий поставщик»</w:t>
      </w:r>
      <w:r w:rsidR="00543CF3" w:rsidRPr="0070605A">
        <w:rPr>
          <w:sz w:val="26"/>
          <w:szCs w:val="26"/>
        </w:rPr>
        <w:t xml:space="preserve"> в редакции проекта акта</w:t>
      </w:r>
      <w:r w:rsidR="00931E01" w:rsidRPr="0070605A">
        <w:rPr>
          <w:sz w:val="26"/>
          <w:szCs w:val="26"/>
        </w:rPr>
        <w:t xml:space="preserve"> не в полной мере соответствует определению, установленному в Законе № 35.</w:t>
      </w:r>
    </w:p>
    <w:p w:rsidR="00931E01" w:rsidRPr="0070605A" w:rsidRDefault="00931E01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Правилах № 354 </w:t>
      </w:r>
      <w:r w:rsidR="00906A14" w:rsidRPr="0070605A">
        <w:rPr>
          <w:sz w:val="26"/>
          <w:szCs w:val="26"/>
        </w:rPr>
        <w:t>в редакции проекта акта устанавливается</w:t>
      </w:r>
      <w:r w:rsidRPr="0070605A">
        <w:rPr>
          <w:sz w:val="26"/>
          <w:szCs w:val="26"/>
        </w:rPr>
        <w:t xml:space="preserve"> определение </w:t>
      </w:r>
      <w:r w:rsidR="003A0E28" w:rsidRPr="0070605A">
        <w:rPr>
          <w:sz w:val="26"/>
          <w:szCs w:val="26"/>
        </w:rPr>
        <w:t>термина</w:t>
      </w:r>
      <w:r w:rsidRPr="0070605A">
        <w:rPr>
          <w:sz w:val="26"/>
          <w:szCs w:val="26"/>
        </w:rPr>
        <w:t xml:space="preserve"> «сетевая организация»</w:t>
      </w:r>
      <w:r w:rsidR="00906A14" w:rsidRPr="0070605A">
        <w:rPr>
          <w:sz w:val="26"/>
          <w:szCs w:val="26"/>
        </w:rPr>
        <w:t xml:space="preserve">, при этом определение указанного </w:t>
      </w:r>
      <w:r w:rsidR="003A0E28" w:rsidRPr="0070605A">
        <w:rPr>
          <w:sz w:val="26"/>
          <w:szCs w:val="26"/>
        </w:rPr>
        <w:t>термина</w:t>
      </w:r>
      <w:r w:rsidR="00906A14" w:rsidRPr="0070605A">
        <w:rPr>
          <w:sz w:val="26"/>
          <w:szCs w:val="26"/>
        </w:rPr>
        <w:t xml:space="preserve"> в проектируемой редакции Правил № 354 отличается от установленного в Правилах № 861 определения. </w:t>
      </w:r>
    </w:p>
    <w:p w:rsidR="00906A14" w:rsidRPr="0070605A" w:rsidRDefault="00906A14" w:rsidP="0070605A">
      <w:pPr>
        <w:widowControl w:val="0"/>
        <w:spacing w:line="348" w:lineRule="auto"/>
        <w:ind w:firstLine="709"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Дополнительно обращаем внимание, что в Законе № 35 </w:t>
      </w:r>
      <w:r w:rsidR="003A0E28" w:rsidRPr="0070605A">
        <w:rPr>
          <w:sz w:val="26"/>
          <w:szCs w:val="26"/>
        </w:rPr>
        <w:t>определение термина «сетевая организация» отсутствует при том, что многократно употребляется.</w:t>
      </w:r>
    </w:p>
    <w:p w:rsidR="009D7206" w:rsidRPr="0070605A" w:rsidRDefault="005A67EF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lastRenderedPageBreak/>
        <w:t xml:space="preserve">Таким образом, считаем целесообразным </w:t>
      </w:r>
      <w:r w:rsidR="003A0E28" w:rsidRPr="0070605A">
        <w:rPr>
          <w:sz w:val="26"/>
          <w:szCs w:val="26"/>
        </w:rPr>
        <w:t>из редакции проекта акта исключить определения терминов «гарантирующий поставщик»</w:t>
      </w:r>
      <w:r w:rsidR="009D7206" w:rsidRPr="0070605A">
        <w:rPr>
          <w:sz w:val="26"/>
          <w:szCs w:val="26"/>
        </w:rPr>
        <w:t>,</w:t>
      </w:r>
      <w:r w:rsidR="003A0E28" w:rsidRPr="0070605A">
        <w:rPr>
          <w:sz w:val="26"/>
          <w:szCs w:val="26"/>
        </w:rPr>
        <w:t xml:space="preserve"> «интеллектуальная система учета электрической энергии (интеллектуальная система учета)»</w:t>
      </w:r>
      <w:r w:rsidR="009D7206" w:rsidRPr="0070605A">
        <w:rPr>
          <w:sz w:val="26"/>
          <w:szCs w:val="26"/>
        </w:rPr>
        <w:t xml:space="preserve"> и «сетевая организация»</w:t>
      </w:r>
      <w:r w:rsidR="003A0E28" w:rsidRPr="0070605A">
        <w:rPr>
          <w:sz w:val="26"/>
          <w:szCs w:val="26"/>
        </w:rPr>
        <w:t xml:space="preserve"> ввиду урегулированности вопроса Законом № 35-ФЗ</w:t>
      </w:r>
      <w:r w:rsidR="009D7206" w:rsidRPr="0070605A">
        <w:rPr>
          <w:sz w:val="26"/>
          <w:szCs w:val="26"/>
        </w:rPr>
        <w:t xml:space="preserve"> </w:t>
      </w:r>
      <w:r w:rsidR="003A0E28" w:rsidRPr="0070605A">
        <w:rPr>
          <w:sz w:val="26"/>
          <w:szCs w:val="26"/>
        </w:rPr>
        <w:t>в целях однозначного толкования указа</w:t>
      </w:r>
      <w:r w:rsidR="00ED515E" w:rsidRPr="0070605A">
        <w:rPr>
          <w:sz w:val="26"/>
          <w:szCs w:val="26"/>
        </w:rPr>
        <w:t>нных терминов в законодательстве</w:t>
      </w:r>
      <w:r w:rsidR="003A0E28" w:rsidRPr="0070605A">
        <w:rPr>
          <w:sz w:val="26"/>
          <w:szCs w:val="26"/>
        </w:rPr>
        <w:t xml:space="preserve"> Российской Федерации в сфере электроснабжения</w:t>
      </w:r>
      <w:r w:rsidR="009D7206" w:rsidRPr="0070605A">
        <w:rPr>
          <w:sz w:val="26"/>
          <w:szCs w:val="26"/>
        </w:rPr>
        <w:t>.</w:t>
      </w:r>
    </w:p>
    <w:p w:rsidR="00B62EC9" w:rsidRPr="0070605A" w:rsidRDefault="00794080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подпунктом «г(1)» пункта 18 Правил № 124 в редакции проекта акта </w:t>
      </w:r>
      <w:r w:rsidR="002A4593" w:rsidRPr="0070605A">
        <w:rPr>
          <w:sz w:val="26"/>
          <w:szCs w:val="26"/>
        </w:rPr>
        <w:t xml:space="preserve">в договоре энергоснабжения </w:t>
      </w:r>
      <w:r w:rsidRPr="0070605A">
        <w:rPr>
          <w:sz w:val="26"/>
          <w:szCs w:val="26"/>
        </w:rPr>
        <w:t xml:space="preserve">устанавливается </w:t>
      </w:r>
      <w:r w:rsidR="002A4593" w:rsidRPr="0070605A">
        <w:rPr>
          <w:sz w:val="26"/>
          <w:szCs w:val="26"/>
        </w:rPr>
        <w:t xml:space="preserve">порядок допуска гарантирующего поставщика </w:t>
      </w:r>
      <w:r w:rsidR="002A4593" w:rsidRPr="0070605A">
        <w:rPr>
          <w:bCs/>
          <w:sz w:val="26"/>
          <w:szCs w:val="26"/>
        </w:rPr>
        <w:t>исполнителем к местам установки общедомового прибора учета электрической энергии, а также к местам установки индивидуальных, общих (квартирных) приборов учета электрической энергии, установленных в местах, отнесенны</w:t>
      </w:r>
      <w:r w:rsidR="003C27B6" w:rsidRPr="0070605A">
        <w:rPr>
          <w:bCs/>
          <w:sz w:val="26"/>
          <w:szCs w:val="26"/>
        </w:rPr>
        <w:t>х</w:t>
      </w:r>
      <w:r w:rsidR="002A4593" w:rsidRPr="0070605A">
        <w:rPr>
          <w:bCs/>
          <w:sz w:val="26"/>
          <w:szCs w:val="26"/>
        </w:rPr>
        <w:t xml:space="preserve"> к общему имуществу многоквартирного дома</w:t>
      </w:r>
      <w:r w:rsidR="00463486">
        <w:rPr>
          <w:bCs/>
          <w:sz w:val="26"/>
          <w:szCs w:val="26"/>
        </w:rPr>
        <w:t>,</w:t>
      </w:r>
      <w:r w:rsidR="002A4593" w:rsidRPr="0070605A">
        <w:rPr>
          <w:bCs/>
          <w:sz w:val="26"/>
          <w:szCs w:val="26"/>
        </w:rPr>
        <w:t xml:space="preserve"> для целей проведения проверок наличия или отсутствия индивидуальных, общих (квартирных), комнатных</w:t>
      </w:r>
      <w:r w:rsidR="002A4593" w:rsidRPr="0070605A">
        <w:rPr>
          <w:sz w:val="26"/>
          <w:szCs w:val="26"/>
        </w:rPr>
        <w:t xml:space="preserve"> приборов учета и их технического состояния, работ по установке, поверке, техническому обслуживанию </w:t>
      </w:r>
      <w:r w:rsidR="0070605A" w:rsidRPr="0070605A">
        <w:rPr>
          <w:sz w:val="26"/>
          <w:szCs w:val="26"/>
        </w:rPr>
        <w:br/>
      </w:r>
      <w:r w:rsidR="002A4593" w:rsidRPr="0070605A">
        <w:rPr>
          <w:sz w:val="26"/>
          <w:szCs w:val="26"/>
        </w:rPr>
        <w:t>и присоединению к интеллектуальной системе учета приборов учета электрической энергии, установленных в многоквартирном доме.</w:t>
      </w:r>
    </w:p>
    <w:p w:rsidR="00B62EC9" w:rsidRPr="0070605A" w:rsidRDefault="002A4593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При этом в соответствии с подпунктом «ж» пункта 22 Правил № 124 в редакции проекта акта в случае </w:t>
      </w:r>
      <w:r w:rsidR="006E12F0" w:rsidRPr="0070605A">
        <w:rPr>
          <w:sz w:val="26"/>
          <w:szCs w:val="26"/>
        </w:rPr>
        <w:t>дву</w:t>
      </w:r>
      <w:r w:rsidRPr="0070605A">
        <w:rPr>
          <w:sz w:val="26"/>
          <w:szCs w:val="26"/>
        </w:rPr>
        <w:t xml:space="preserve">кратного недопуска исполнителем представителей гарантирующего поставщика для установки и (или) подключения коллективного (общедомового) прибора учета электрической энергии к интеллектуальной системе учета электрической энергии, проверки состояния установленного и введенного в эксплуатацию коллективного (общедомового) прибора учета электрической энергии и (или) компонентов интеллектуальной системы учета, а также индивидуальных или общих приборов учета, </w:t>
      </w:r>
      <w:r w:rsidR="0070605A" w:rsidRPr="0070605A">
        <w:rPr>
          <w:sz w:val="26"/>
          <w:szCs w:val="26"/>
        </w:rPr>
        <w:br/>
      </w:r>
      <w:r w:rsidR="00523330" w:rsidRPr="0070605A">
        <w:rPr>
          <w:sz w:val="26"/>
          <w:szCs w:val="26"/>
        </w:rPr>
        <w:t>в помещения</w:t>
      </w:r>
      <w:r w:rsidRPr="0070605A">
        <w:rPr>
          <w:sz w:val="26"/>
          <w:szCs w:val="26"/>
        </w:rPr>
        <w:t>, отнесенны</w:t>
      </w:r>
      <w:r w:rsidR="00523330" w:rsidRPr="0070605A">
        <w:rPr>
          <w:sz w:val="26"/>
          <w:szCs w:val="26"/>
        </w:rPr>
        <w:t>е</w:t>
      </w:r>
      <w:r w:rsidRPr="0070605A">
        <w:rPr>
          <w:sz w:val="26"/>
          <w:szCs w:val="26"/>
        </w:rPr>
        <w:t xml:space="preserve"> к общему имуществу многоквартирного дома, исполнитель распределяет между потребителями объем коммунального ресурса, потребленного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на содержание и использование общего имущества за расчетный период, исходя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из нормативов потребления коммунального ресурса в целях содержания общего имущества в многоквартирном доме, остаток средств исполнитель оплачивает из собственных средств.</w:t>
      </w:r>
    </w:p>
    <w:p w:rsidR="00541F30" w:rsidRPr="0070605A" w:rsidRDefault="002E3DE1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Обращаем внимание, что в соответствии с пунктом 2 Правил содержания общего имущества в многоквартирном доме, утвержденных постановлением Правительства Российской Федерации от 13 августа 2006 г. № 491,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 w:rsidR="00B63D23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являются общим имуществом </w:t>
      </w:r>
      <w:r w:rsidRPr="0070605A">
        <w:rPr>
          <w:sz w:val="26"/>
          <w:szCs w:val="26"/>
        </w:rPr>
        <w:lastRenderedPageBreak/>
        <w:t>многоквартирного дома, в которых могут быть установлены инженерные коммуникации и приборы учета</w:t>
      </w:r>
      <w:r w:rsidR="00541F30" w:rsidRPr="0070605A">
        <w:rPr>
          <w:sz w:val="26"/>
          <w:szCs w:val="26"/>
        </w:rPr>
        <w:t xml:space="preserve">. </w:t>
      </w:r>
    </w:p>
    <w:p w:rsidR="002410B4" w:rsidRPr="0070605A" w:rsidRDefault="00541F30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Вместе с тем на практике существует риск невозможности исполнителя обеспечить допуск гарантирующего поставщика к местам установки соответствующих приборов учета, связанный с тем, что отдельные помещения, не являющиеся частями квартир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и предназначенные для обслуживания более одного жилого и (или) нежилого помещения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в этом многоквартирном доме, могут быть перекрыты для доступа третьих лиц собственниками квартир, граничащих с такими помещениями («карманы», части лестничных клеток</w:t>
      </w:r>
      <w:r w:rsidR="002410B4" w:rsidRPr="0070605A">
        <w:rPr>
          <w:sz w:val="26"/>
          <w:szCs w:val="26"/>
        </w:rPr>
        <w:t xml:space="preserve"> и иные помещения, отнесенные к общему имуществу многоквартирного дома</w:t>
      </w:r>
      <w:r w:rsidRPr="0070605A">
        <w:rPr>
          <w:sz w:val="26"/>
          <w:szCs w:val="26"/>
        </w:rPr>
        <w:t>). Изложенное ведет к риску невозможности исполнителя обеспечить соответствующий допуск гарантирующему поставщику в отдельных случаях</w:t>
      </w:r>
      <w:r w:rsidR="002410B4" w:rsidRPr="0070605A">
        <w:rPr>
          <w:sz w:val="26"/>
          <w:szCs w:val="26"/>
        </w:rPr>
        <w:t>.</w:t>
      </w:r>
      <w:r w:rsidRPr="0070605A">
        <w:rPr>
          <w:sz w:val="26"/>
          <w:szCs w:val="26"/>
        </w:rPr>
        <w:t xml:space="preserve"> </w:t>
      </w:r>
    </w:p>
    <w:p w:rsidR="00541F30" w:rsidRPr="0070605A" w:rsidRDefault="002410B4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Учитывая изложенное, представляется целесообразным дополнительно обсудить указанные положения проекта акта и доработать проект акта в целях исключения указанных рисков. </w:t>
      </w:r>
    </w:p>
    <w:p w:rsidR="00903098" w:rsidRPr="0070605A" w:rsidRDefault="009B0DFD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подпунктом «г(1)» пункта 18 Правил № 124 в редакции проекта акта в договоре энергоснабжения устанавливается обязательство исполнителя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по запросу гарантирующего поставщика в течение 10 дней передать информацию, необходимую ему для реализации своих обязанностей по установке и эксплуатации коллективных (общедомовых), индивидуальных, общих (квартирных), комнатных приборов учета электрической энергии, а также иную необходимую информацию для обеспечения коммерческого учета электрической энергии, в том числе о сроках эксплуатации, истечении срока п</w:t>
      </w:r>
      <w:r w:rsidR="00903098" w:rsidRPr="0070605A">
        <w:rPr>
          <w:sz w:val="26"/>
          <w:szCs w:val="26"/>
        </w:rPr>
        <w:t>оверки указанных приборов учета, без конкретизации перечня такой информации. Таким образом, остается неясным</w:t>
      </w:r>
      <w:r w:rsidR="00B63D23">
        <w:rPr>
          <w:sz w:val="26"/>
          <w:szCs w:val="26"/>
        </w:rPr>
        <w:t>,</w:t>
      </w:r>
      <w:r w:rsidR="00903098" w:rsidRPr="0070605A">
        <w:rPr>
          <w:sz w:val="26"/>
          <w:szCs w:val="26"/>
        </w:rPr>
        <w:t xml:space="preserve"> какие именно сведения должен предоставить исполнитель гарантирующему поставщику, что дает последнему возможность по собственному усмотрению устанавливать объем информации, что заведомо делает непрозрачными и не понятными для исполнителя обязательства.</w:t>
      </w:r>
    </w:p>
    <w:p w:rsidR="00903098" w:rsidRPr="0070605A" w:rsidRDefault="00903098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Вместе с тем приказом Минэнерго России от 7 апреля 2010 г. № 149 утвержден 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ресурсов.</w:t>
      </w:r>
    </w:p>
    <w:p w:rsidR="00903098" w:rsidRPr="0070605A" w:rsidRDefault="00903098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С учетом данного приказа, а также положений Правил № 354 считаем целесообразным разграничить обязательства по предоставлению информации гарантирующему поставщику исполнител</w:t>
      </w:r>
      <w:r w:rsidR="00523330" w:rsidRPr="0070605A">
        <w:rPr>
          <w:sz w:val="26"/>
          <w:szCs w:val="26"/>
        </w:rPr>
        <w:t>ем</w:t>
      </w:r>
      <w:r w:rsidRPr="0070605A">
        <w:rPr>
          <w:sz w:val="26"/>
          <w:szCs w:val="26"/>
        </w:rPr>
        <w:t xml:space="preserve"> в части приборов учета в помещениях общего пользования многоквартирного дома индивидуальных, общих (квартирных), комнатных </w:t>
      </w:r>
      <w:r w:rsidRPr="0070605A">
        <w:rPr>
          <w:sz w:val="26"/>
          <w:szCs w:val="26"/>
        </w:rPr>
        <w:lastRenderedPageBreak/>
        <w:t>приборов учета электрической энергии, и собственник</w:t>
      </w:r>
      <w:r w:rsidR="00523330" w:rsidRPr="0070605A">
        <w:rPr>
          <w:sz w:val="26"/>
          <w:szCs w:val="26"/>
        </w:rPr>
        <w:t>ами</w:t>
      </w:r>
      <w:r w:rsidRPr="0070605A">
        <w:rPr>
          <w:sz w:val="26"/>
          <w:szCs w:val="26"/>
        </w:rPr>
        <w:t xml:space="preserve"> помещений</w:t>
      </w:r>
      <w:r w:rsidR="00523330" w:rsidRPr="0070605A">
        <w:rPr>
          <w:sz w:val="26"/>
          <w:szCs w:val="26"/>
        </w:rPr>
        <w:t xml:space="preserve"> </w:t>
      </w:r>
      <w:r w:rsidRPr="0070605A">
        <w:rPr>
          <w:sz w:val="26"/>
          <w:szCs w:val="26"/>
        </w:rPr>
        <w:t xml:space="preserve">в </w:t>
      </w:r>
      <w:r w:rsidR="000331FC" w:rsidRPr="0070605A">
        <w:rPr>
          <w:sz w:val="26"/>
          <w:szCs w:val="26"/>
        </w:rPr>
        <w:t>многоквартирном доме в</w:t>
      </w:r>
      <w:r w:rsidRPr="0070605A">
        <w:rPr>
          <w:sz w:val="26"/>
          <w:szCs w:val="26"/>
        </w:rPr>
        <w:t xml:space="preserve"> </w:t>
      </w:r>
      <w:r w:rsidR="00523330" w:rsidRPr="0070605A">
        <w:rPr>
          <w:sz w:val="26"/>
          <w:szCs w:val="26"/>
        </w:rPr>
        <w:t>части</w:t>
      </w:r>
      <w:r w:rsidRPr="0070605A">
        <w:rPr>
          <w:sz w:val="26"/>
          <w:szCs w:val="26"/>
        </w:rPr>
        <w:t xml:space="preserve"> установки индивидуальных, общих (квартирных), комнатных приборов учета электрической энергии в помещении собственника п</w:t>
      </w:r>
      <w:r w:rsidR="000331FC" w:rsidRPr="0070605A">
        <w:rPr>
          <w:sz w:val="26"/>
          <w:szCs w:val="26"/>
        </w:rPr>
        <w:t>омещения в многоквартирном доме.</w:t>
      </w:r>
      <w:r w:rsidRPr="0070605A">
        <w:rPr>
          <w:sz w:val="26"/>
          <w:szCs w:val="26"/>
        </w:rPr>
        <w:t xml:space="preserve"> </w:t>
      </w:r>
    </w:p>
    <w:p w:rsidR="000331FC" w:rsidRPr="0070605A" w:rsidRDefault="000331F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Аналогичное замечание относится к пункту 80(1) Правил № 354 в редакции проекта акта.</w:t>
      </w:r>
    </w:p>
    <w:p w:rsidR="000331FC" w:rsidRPr="0070605A" w:rsidRDefault="00E2226A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подпунктом «г(1)» пункта 18 Правил № 124 в редакции проекта акта в договоре энергоснабжения устанавливается обязанность </w:t>
      </w:r>
      <w:r w:rsidR="000F2F44" w:rsidRPr="0070605A">
        <w:rPr>
          <w:sz w:val="26"/>
          <w:szCs w:val="26"/>
        </w:rPr>
        <w:t xml:space="preserve">исполнителя </w:t>
      </w:r>
      <w:r w:rsid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 xml:space="preserve">по безвозмездному принятию на хранение коллективного (общедомового) прибора </w:t>
      </w:r>
      <w:r w:rsid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>учета электрической энергии, а также и индивидуальных (общих) приборов учета электрической энергии, установленных в помещениях, отнесенн</w:t>
      </w:r>
      <w:r w:rsidR="001F2625" w:rsidRPr="0070605A">
        <w:rPr>
          <w:sz w:val="26"/>
          <w:szCs w:val="26"/>
        </w:rPr>
        <w:t>ых</w:t>
      </w:r>
      <w:r w:rsidR="000F2F44" w:rsidRPr="0070605A">
        <w:rPr>
          <w:sz w:val="26"/>
          <w:szCs w:val="26"/>
        </w:rPr>
        <w:t xml:space="preserve"> к общему имуществу многоквартирного дома, с момента подписания акта приемки прибора учета </w:t>
      </w:r>
      <w:r w:rsidR="0034357A" w:rsidRP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>в эксплуатацию. В отношении прочего оборудования, входящего в интеллектуальную систему учета электрической энергии</w:t>
      </w:r>
      <w:r w:rsidR="00B63D23">
        <w:rPr>
          <w:sz w:val="26"/>
          <w:szCs w:val="26"/>
        </w:rPr>
        <w:t>,</w:t>
      </w:r>
      <w:r w:rsidR="000F2F44" w:rsidRPr="0070605A">
        <w:rPr>
          <w:sz w:val="26"/>
          <w:szCs w:val="26"/>
        </w:rPr>
        <w:t xml:space="preserve"> обязательства по хранению возникают с момента уведомления гарантирующим поставщиком исполнителя о завершении установки такого оборудования.</w:t>
      </w:r>
    </w:p>
    <w:p w:rsidR="000331FC" w:rsidRPr="0070605A" w:rsidRDefault="00D45F43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4.1. </w:t>
      </w:r>
      <w:r w:rsidR="000F2F44" w:rsidRPr="0070605A">
        <w:rPr>
          <w:sz w:val="26"/>
          <w:szCs w:val="26"/>
        </w:rPr>
        <w:t xml:space="preserve">В соответствии с пунктом 6.3 статьи 23.1 Закона № 35-ФЗ расходы гарантирующего поставщика, понесенные им для приобретения, установки и замены приборов учета электрической энергии и (или) иного оборудования, необходимого для обеспечения коммерческого учета электрической энергии (мощности), использование которых предполагается осуществлять для коммерческого учета электрической </w:t>
      </w:r>
      <w:r w:rsid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 xml:space="preserve">энергии (мощности) на розничных рынках и для оказания коммунальных услуг </w:t>
      </w:r>
      <w:r w:rsidR="002410B4" w:rsidRP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 xml:space="preserve">по электроснабжению, в случаях, не указанных в пункте 5 статьи 37 Закона № 35-ФЗ, </w:t>
      </w:r>
      <w:r w:rsid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 xml:space="preserve">не учитываются при государственном регулировании тарифов. Финансирование таких расходов осуществляется за счет собственных и привлеченных средств, а также иных </w:t>
      </w:r>
      <w:r w:rsidR="002410B4" w:rsidRPr="0070605A">
        <w:rPr>
          <w:sz w:val="26"/>
          <w:szCs w:val="26"/>
        </w:rPr>
        <w:br/>
      </w:r>
      <w:r w:rsidR="000F2F44" w:rsidRPr="0070605A">
        <w:rPr>
          <w:sz w:val="26"/>
          <w:szCs w:val="26"/>
        </w:rPr>
        <w:t>не запрещенных законом источников, в том числе средств, полученных в результате экономии операционных расходов, достигнутой гарантирующим поставщиком при осуществлении регулируемых видов деятельности.</w:t>
      </w:r>
    </w:p>
    <w:p w:rsidR="000331FC" w:rsidRPr="0070605A" w:rsidRDefault="000F2F44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</w:t>
      </w:r>
      <w:r w:rsidR="0034357A" w:rsidRPr="0070605A">
        <w:rPr>
          <w:sz w:val="26"/>
          <w:szCs w:val="26"/>
        </w:rPr>
        <w:t xml:space="preserve">такие приборы учета </w:t>
      </w:r>
      <w:r w:rsidRPr="0070605A">
        <w:rPr>
          <w:sz w:val="26"/>
          <w:szCs w:val="26"/>
        </w:rPr>
        <w:t xml:space="preserve">будут являться </w:t>
      </w:r>
      <w:r w:rsidR="0034357A" w:rsidRPr="0070605A">
        <w:rPr>
          <w:sz w:val="26"/>
          <w:szCs w:val="26"/>
        </w:rPr>
        <w:t>собственностью гарантирующих поставщиков.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lastRenderedPageBreak/>
        <w:t>Согласно части 1 статьи 886 Гражданского кодекса Российской Федерации (далее – ГК РФ),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Согласно части 1 статьи 887 ГК РФ, договор хранения должен быть заключен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в письменной форме в случаях, указанных в статье 161 ГК РФ.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Согласно части 1 статьи 891 ГК РФ, хранитель обязан принять все предусмотренные договором хранения меры для того, чтобы обеспечить сохранность переданной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на хранение вещи.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Согласно стать</w:t>
      </w:r>
      <w:r w:rsidR="00B63D23">
        <w:rPr>
          <w:sz w:val="26"/>
          <w:szCs w:val="26"/>
        </w:rPr>
        <w:t>е</w:t>
      </w:r>
      <w:r w:rsidRPr="0070605A">
        <w:rPr>
          <w:sz w:val="26"/>
          <w:szCs w:val="26"/>
        </w:rPr>
        <w:t xml:space="preserve"> 892 ГК РФ, хранитель не вправе без согласия поклажедателя пользоваться переданной на хранение вещью, а равно предоставлять возможность пользования ею третьим лицам, за исключением случая, когда пользование хранимой вещью необходимо для обеспечения ее сохранности и не противоречит договору хранения.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хранение как вид деятельности предусматривает заключение договора, согласно которому одна сторона обязуется хранить вещь, переданную ей другой стороной, и возвратить эту вещь в сохранности, при этом право собственности </w:t>
      </w:r>
      <w:r w:rsidRPr="0070605A">
        <w:rPr>
          <w:sz w:val="26"/>
          <w:szCs w:val="26"/>
        </w:rPr>
        <w:br/>
        <w:t>к хранителю в отношении переданной на хранение вещи не переходит.</w:t>
      </w:r>
    </w:p>
    <w:p w:rsidR="005323B7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Применительно к правоотношениям между гарантирующим поставщиком </w:t>
      </w:r>
      <w:r w:rsidRPr="0070605A">
        <w:rPr>
          <w:sz w:val="26"/>
          <w:szCs w:val="26"/>
        </w:rPr>
        <w:br/>
        <w:t xml:space="preserve">и управляющей организацией </w:t>
      </w:r>
      <w:r w:rsidR="005323B7" w:rsidRPr="0070605A">
        <w:rPr>
          <w:sz w:val="26"/>
          <w:szCs w:val="26"/>
        </w:rPr>
        <w:t>представляется целесообразным доработать подпункт «г(1)» пункта 18 Правил № 124 либо ины</w:t>
      </w:r>
      <w:r w:rsidR="00990C06" w:rsidRPr="0070605A">
        <w:rPr>
          <w:sz w:val="26"/>
          <w:szCs w:val="26"/>
        </w:rPr>
        <w:t>е</w:t>
      </w:r>
      <w:r w:rsidR="005323B7" w:rsidRPr="0070605A">
        <w:rPr>
          <w:sz w:val="26"/>
          <w:szCs w:val="26"/>
        </w:rPr>
        <w:t xml:space="preserve"> положени</w:t>
      </w:r>
      <w:r w:rsidR="00990C06" w:rsidRPr="0070605A">
        <w:rPr>
          <w:sz w:val="26"/>
          <w:szCs w:val="26"/>
        </w:rPr>
        <w:t>я</w:t>
      </w:r>
      <w:r w:rsidR="005323B7" w:rsidRPr="0070605A">
        <w:rPr>
          <w:sz w:val="26"/>
          <w:szCs w:val="26"/>
        </w:rPr>
        <w:t xml:space="preserve"> в редакции проекта акта в части соотнесения предлагаемого регулирования с требованиями гражданского законодательства в части необходимости заключения договора хр</w:t>
      </w:r>
      <w:r w:rsidR="00EB4C0A" w:rsidRPr="0070605A">
        <w:rPr>
          <w:sz w:val="26"/>
          <w:szCs w:val="26"/>
        </w:rPr>
        <w:t>а</w:t>
      </w:r>
      <w:r w:rsidR="005323B7" w:rsidRPr="0070605A">
        <w:rPr>
          <w:sz w:val="26"/>
          <w:szCs w:val="26"/>
        </w:rPr>
        <w:t xml:space="preserve">нения в письменной форме между гарантирующим поставщиком и исполнителем. </w:t>
      </w:r>
    </w:p>
    <w:p w:rsidR="0034357A" w:rsidRPr="0070605A" w:rsidRDefault="00D45F43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4.2. С</w:t>
      </w:r>
      <w:r w:rsidR="0034357A" w:rsidRPr="0070605A">
        <w:rPr>
          <w:sz w:val="26"/>
          <w:szCs w:val="26"/>
        </w:rPr>
        <w:t xml:space="preserve">огласно части 5 статьи 37 Закона № 35-ФЗ гарантирующие поставщики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</w:t>
      </w:r>
      <w:r w:rsidR="00C877DE" w:rsidRPr="0070605A">
        <w:rPr>
          <w:sz w:val="26"/>
          <w:szCs w:val="26"/>
        </w:rPr>
        <w:br/>
      </w:r>
      <w:r w:rsidR="0034357A" w:rsidRPr="0070605A">
        <w:rPr>
          <w:sz w:val="26"/>
          <w:szCs w:val="26"/>
        </w:rPr>
        <w:t xml:space="preserve">в отношении многоквартирного дома и помещений в многоквартирных домах, электроснабжение которых осуществляется с использованием общего имущества, при отсутствии, выходе из строя,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</w:t>
      </w:r>
      <w:r w:rsidR="0034357A" w:rsidRPr="0070605A">
        <w:rPr>
          <w:sz w:val="26"/>
          <w:szCs w:val="26"/>
        </w:rPr>
        <w:lastRenderedPageBreak/>
        <w:t xml:space="preserve">числе не принадлежащих гарантирующему поставщику, а также последующую </w:t>
      </w:r>
      <w:r w:rsidR="002410B4" w:rsidRPr="0070605A">
        <w:rPr>
          <w:sz w:val="26"/>
          <w:szCs w:val="26"/>
        </w:rPr>
        <w:br/>
      </w:r>
      <w:r w:rsidR="0034357A" w:rsidRPr="0070605A">
        <w:rPr>
          <w:sz w:val="26"/>
          <w:szCs w:val="26"/>
        </w:rPr>
        <w:t>их эксплуатацию.</w:t>
      </w:r>
      <w:r w:rsidR="00B22123" w:rsidRPr="0070605A">
        <w:rPr>
          <w:sz w:val="26"/>
          <w:szCs w:val="26"/>
        </w:rPr>
        <w:t xml:space="preserve"> </w:t>
      </w:r>
      <w:r w:rsidR="0034357A" w:rsidRPr="0070605A">
        <w:rPr>
          <w:sz w:val="26"/>
          <w:szCs w:val="26"/>
        </w:rPr>
        <w:t>Аналогичная обязанность закреплена за сетевой организацией.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Таким образом, гарантирующие поставщики и сетевые организации обязаны за свой счет обеспечить не только приобретение, установку, замену, допуск в эксплуатацию приборов учета электрической энергии, в том числе не принадлежащих гарантирующему поставщику, а также последующую их эксплуатацию.</w:t>
      </w:r>
    </w:p>
    <w:p w:rsidR="0034357A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Следовательно, </w:t>
      </w:r>
      <w:r w:rsidR="00D45F43" w:rsidRPr="0070605A">
        <w:rPr>
          <w:sz w:val="26"/>
          <w:szCs w:val="26"/>
        </w:rPr>
        <w:t xml:space="preserve">представляется неоднозначной возможность </w:t>
      </w:r>
      <w:r w:rsidRPr="0070605A">
        <w:rPr>
          <w:sz w:val="26"/>
          <w:szCs w:val="26"/>
        </w:rPr>
        <w:t>исполнител</w:t>
      </w:r>
      <w:r w:rsidR="00D45F43" w:rsidRPr="0070605A">
        <w:rPr>
          <w:sz w:val="26"/>
          <w:szCs w:val="26"/>
        </w:rPr>
        <w:t>я</w:t>
      </w:r>
      <w:r w:rsidRPr="0070605A">
        <w:rPr>
          <w:sz w:val="26"/>
          <w:szCs w:val="26"/>
        </w:rPr>
        <w:t xml:space="preserve">,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не отвечающ</w:t>
      </w:r>
      <w:r w:rsidR="00D45F43" w:rsidRPr="0070605A">
        <w:rPr>
          <w:sz w:val="26"/>
          <w:szCs w:val="26"/>
        </w:rPr>
        <w:t xml:space="preserve">его </w:t>
      </w:r>
      <w:r w:rsidRPr="0070605A">
        <w:rPr>
          <w:sz w:val="26"/>
          <w:szCs w:val="26"/>
        </w:rPr>
        <w:t>за эксплуатацию общедомовых и индивидуальных приборов учета, отвечать за целостность и сохранность</w:t>
      </w:r>
      <w:r w:rsidR="00D45F43" w:rsidRPr="0070605A">
        <w:rPr>
          <w:sz w:val="26"/>
          <w:szCs w:val="26"/>
        </w:rPr>
        <w:t xml:space="preserve"> таких приборов</w:t>
      </w:r>
      <w:r w:rsidRPr="0070605A">
        <w:rPr>
          <w:sz w:val="26"/>
          <w:szCs w:val="26"/>
        </w:rPr>
        <w:t>, так как такая ответственность возл</w:t>
      </w:r>
      <w:r w:rsidR="00D45F43" w:rsidRPr="0070605A">
        <w:rPr>
          <w:sz w:val="26"/>
          <w:szCs w:val="26"/>
        </w:rPr>
        <w:t xml:space="preserve">ожена </w:t>
      </w:r>
      <w:r w:rsidRPr="0070605A">
        <w:rPr>
          <w:sz w:val="26"/>
          <w:szCs w:val="26"/>
        </w:rPr>
        <w:t>на эксплуатанта, т.е. гарантирующего поставщика или сетев</w:t>
      </w:r>
      <w:r w:rsidR="00AF202F">
        <w:rPr>
          <w:sz w:val="26"/>
          <w:szCs w:val="26"/>
        </w:rPr>
        <w:t>ую</w:t>
      </w:r>
      <w:r w:rsidRPr="0070605A">
        <w:rPr>
          <w:sz w:val="26"/>
          <w:szCs w:val="26"/>
        </w:rPr>
        <w:t xml:space="preserve"> организаци</w:t>
      </w:r>
      <w:r w:rsidR="00AF202F">
        <w:rPr>
          <w:sz w:val="26"/>
          <w:szCs w:val="26"/>
        </w:rPr>
        <w:t>ю</w:t>
      </w:r>
      <w:r w:rsidRPr="0070605A">
        <w:rPr>
          <w:sz w:val="26"/>
          <w:szCs w:val="26"/>
        </w:rPr>
        <w:t>.</w:t>
      </w:r>
    </w:p>
    <w:p w:rsidR="000331FC" w:rsidRPr="0070605A" w:rsidRDefault="0034357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Аналогичное замечание относится к подпункту «ж(1)» пункта 34</w:t>
      </w:r>
      <w:r w:rsidR="00B22123" w:rsidRPr="0070605A">
        <w:rPr>
          <w:sz w:val="26"/>
          <w:szCs w:val="26"/>
        </w:rPr>
        <w:t>, пункту 80(1)</w:t>
      </w:r>
      <w:r w:rsidRPr="0070605A">
        <w:rPr>
          <w:sz w:val="26"/>
          <w:szCs w:val="26"/>
        </w:rPr>
        <w:t xml:space="preserve"> Правил № 354 в редакции проекта акта.</w:t>
      </w:r>
    </w:p>
    <w:p w:rsidR="00B81E4A" w:rsidRPr="0070605A" w:rsidRDefault="00D45F43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4.4. </w:t>
      </w:r>
      <w:r w:rsidR="00B81E4A" w:rsidRPr="0070605A">
        <w:rPr>
          <w:sz w:val="26"/>
          <w:szCs w:val="26"/>
        </w:rPr>
        <w:t xml:space="preserve">Дополнительно стоит отметить, что проект акта возлагает необоснованные обязанности на исполнителя, связанные с вводом в эксплуатацию и эксплуатацией индивидуальных приборов учета, которые являются индивидуальной собственностью собственников помещений в многоквартирных домах, которые и несут бремя его содержания (статья 210 ГК РФ). Исполнители в лице управляющих организаций </w:t>
      </w:r>
      <w:r w:rsidR="00B81E4A" w:rsidRPr="0070605A">
        <w:rPr>
          <w:sz w:val="26"/>
          <w:szCs w:val="26"/>
        </w:rPr>
        <w:br/>
        <w:t>и товариществ собственников жилья несут ответственность исключительно за надлежащее содержание общего имущества (часть 1 статьи 161 Жилищного Кодекса Российской Федерации).</w:t>
      </w:r>
    </w:p>
    <w:p w:rsidR="00B81E4A" w:rsidRPr="0070605A" w:rsidRDefault="00B81E4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плату за содержание общего имущества не включаются расходы на содержание </w:t>
      </w:r>
      <w:r w:rsidRPr="0070605A">
        <w:rPr>
          <w:sz w:val="26"/>
          <w:szCs w:val="26"/>
        </w:rPr>
        <w:br/>
        <w:t>и обслуживание индивидуального имущества собственников, соответственно, возложение на исполнителей указанной обязанности приводит к возникновению у них необоснованных расходов, не имеющих источника их покрытия.</w:t>
      </w:r>
    </w:p>
    <w:p w:rsidR="00D45F43" w:rsidRPr="0070605A" w:rsidRDefault="00B81E4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Кроме того, согласно части 12 статьи 13 Федерального закона от 23 ноября 2009 </w:t>
      </w:r>
      <w:r w:rsidR="0070605A">
        <w:rPr>
          <w:sz w:val="26"/>
          <w:szCs w:val="26"/>
        </w:rPr>
        <w:t>г.</w:t>
      </w:r>
      <w:r w:rsidR="0070605A">
        <w:rPr>
          <w:sz w:val="26"/>
          <w:szCs w:val="26"/>
        </w:rPr>
        <w:br/>
      </w:r>
      <w:r w:rsidRPr="0070605A">
        <w:rPr>
          <w:sz w:val="26"/>
          <w:szCs w:val="26"/>
        </w:rPr>
        <w:t>№ 261-ФЗ</w:t>
      </w:r>
      <w:r w:rsidR="002539FE" w:rsidRPr="0070605A">
        <w:rPr>
          <w:sz w:val="26"/>
          <w:szCs w:val="26"/>
        </w:rPr>
        <w:t xml:space="preserve"> «Об энергосбережении и о повышении энергетической эффективности </w:t>
      </w:r>
      <w:r w:rsidR="0070605A">
        <w:rPr>
          <w:sz w:val="26"/>
          <w:szCs w:val="26"/>
        </w:rPr>
        <w:br/>
      </w:r>
      <w:r w:rsidR="002539FE" w:rsidRPr="0070605A">
        <w:rPr>
          <w:sz w:val="26"/>
          <w:szCs w:val="26"/>
        </w:rPr>
        <w:t>и о внесении изменений в отдельные законодательные акты Российской Федерации» (далее – Закон № 261-ФЗ)</w:t>
      </w:r>
      <w:r w:rsidRPr="0070605A">
        <w:rPr>
          <w:sz w:val="26"/>
          <w:szCs w:val="26"/>
        </w:rPr>
        <w:t xml:space="preserve"> в редакции Закона № 522-ФЗ собственники этих приборов учета или лица, являющиеся собственниками объектов, на которых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</w:t>
      </w:r>
      <w:r w:rsidRPr="0070605A">
        <w:rPr>
          <w:sz w:val="26"/>
          <w:szCs w:val="26"/>
        </w:rPr>
        <w:lastRenderedPageBreak/>
        <w:t>указанными организациями расходы в связи с необходимостью принудительного взыскания.</w:t>
      </w:r>
      <w:r w:rsidR="00D45F43" w:rsidRPr="0070605A">
        <w:rPr>
          <w:sz w:val="26"/>
          <w:szCs w:val="26"/>
        </w:rPr>
        <w:t xml:space="preserve"> </w:t>
      </w:r>
    </w:p>
    <w:p w:rsidR="00D45F43" w:rsidRPr="0070605A" w:rsidRDefault="00D45F43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Учитывая изложенные в пунктах 4.1-4.4 настоящего заключения замечания, предлагаемое регулирование в части </w:t>
      </w:r>
      <w:r w:rsidR="001F2625" w:rsidRPr="0070605A">
        <w:rPr>
          <w:sz w:val="26"/>
          <w:szCs w:val="26"/>
        </w:rPr>
        <w:t xml:space="preserve">устанавливаемых проектом акта положений </w:t>
      </w:r>
      <w:r w:rsidR="002410B4" w:rsidRPr="0070605A">
        <w:rPr>
          <w:sz w:val="26"/>
          <w:szCs w:val="26"/>
        </w:rPr>
        <w:br/>
      </w:r>
      <w:r w:rsidR="001F2625" w:rsidRPr="0070605A">
        <w:rPr>
          <w:sz w:val="26"/>
          <w:szCs w:val="26"/>
        </w:rPr>
        <w:t xml:space="preserve">по вопросам безвозмездного принятия на хранение коллективного (общедомового) прибора учета электрической энергии, а также и индивидуальных (общих) приборов учета электрической энергии, установленных в помещениях, отнесенных к общему имуществу многоквартирного дома, а также эксплуатации таких приборов </w:t>
      </w:r>
      <w:r w:rsidRPr="0070605A">
        <w:rPr>
          <w:sz w:val="26"/>
          <w:szCs w:val="26"/>
        </w:rPr>
        <w:t>требует дополнительного обсуждения в целях доработки проекта акта.</w:t>
      </w:r>
    </w:p>
    <w:p w:rsidR="0034357A" w:rsidRPr="0070605A" w:rsidRDefault="009321B7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Подпунктом «к(7)» пункта 33 Правил № 354 в редакции проекта акта устанавливается срок в 10 рабочих дней, по истечении которого гарантирующий поставщик, сетевая организация обязаны установить приборы учета электрической энергии, проверить состояние индивидуальных общих (квартирных), комнатных приборов учета со дня получения заявления потребителя о необходимости проведения такой проверки в отношении его прибора учета.</w:t>
      </w:r>
    </w:p>
    <w:p w:rsidR="009329C6" w:rsidRPr="0070605A" w:rsidRDefault="009329C6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Вместе с тем отдельны</w:t>
      </w:r>
      <w:r w:rsidR="001F2625" w:rsidRPr="0070605A">
        <w:rPr>
          <w:sz w:val="26"/>
          <w:szCs w:val="26"/>
        </w:rPr>
        <w:t>е</w:t>
      </w:r>
      <w:r w:rsidRPr="0070605A">
        <w:rPr>
          <w:sz w:val="26"/>
          <w:szCs w:val="26"/>
        </w:rPr>
        <w:t xml:space="preserve"> </w:t>
      </w:r>
      <w:r w:rsidR="001F2625" w:rsidRPr="0070605A">
        <w:rPr>
          <w:sz w:val="26"/>
          <w:szCs w:val="26"/>
        </w:rPr>
        <w:t>г</w:t>
      </w:r>
      <w:r w:rsidRPr="0070605A">
        <w:rPr>
          <w:sz w:val="26"/>
          <w:szCs w:val="26"/>
        </w:rPr>
        <w:t>арантирующ</w:t>
      </w:r>
      <w:r w:rsidR="001F2625" w:rsidRPr="0070605A">
        <w:rPr>
          <w:sz w:val="26"/>
          <w:szCs w:val="26"/>
        </w:rPr>
        <w:t>ие</w:t>
      </w:r>
      <w:r w:rsidRPr="0070605A">
        <w:rPr>
          <w:sz w:val="26"/>
          <w:szCs w:val="26"/>
        </w:rPr>
        <w:t xml:space="preserve"> поставщик</w:t>
      </w:r>
      <w:r w:rsidR="001F2625" w:rsidRPr="0070605A">
        <w:rPr>
          <w:sz w:val="26"/>
          <w:szCs w:val="26"/>
        </w:rPr>
        <w:t xml:space="preserve">и оказывают услуги </w:t>
      </w:r>
      <w:r w:rsidR="002410B4" w:rsidRPr="0070605A">
        <w:rPr>
          <w:sz w:val="26"/>
          <w:szCs w:val="26"/>
        </w:rPr>
        <w:br/>
      </w:r>
      <w:r w:rsidR="001F2625" w:rsidRPr="0070605A">
        <w:rPr>
          <w:sz w:val="26"/>
          <w:szCs w:val="26"/>
        </w:rPr>
        <w:t>по электроснабжению значительному количеству</w:t>
      </w:r>
      <w:r w:rsidRPr="0070605A">
        <w:rPr>
          <w:sz w:val="26"/>
          <w:szCs w:val="26"/>
        </w:rPr>
        <w:t xml:space="preserve"> потребителей </w:t>
      </w:r>
      <w:r w:rsidR="00AF202F">
        <w:rPr>
          <w:sz w:val="26"/>
          <w:szCs w:val="26"/>
        </w:rPr>
        <w:t>–</w:t>
      </w:r>
      <w:r w:rsidRPr="0070605A">
        <w:rPr>
          <w:sz w:val="26"/>
          <w:szCs w:val="26"/>
        </w:rPr>
        <w:t xml:space="preserve"> физических лиц</w:t>
      </w:r>
      <w:r w:rsidR="001F2625" w:rsidRPr="0070605A">
        <w:rPr>
          <w:sz w:val="26"/>
          <w:szCs w:val="26"/>
        </w:rPr>
        <w:t xml:space="preserve"> </w:t>
      </w:r>
      <w:r w:rsidR="0070605A">
        <w:rPr>
          <w:sz w:val="26"/>
          <w:szCs w:val="26"/>
        </w:rPr>
        <w:br/>
      </w:r>
      <w:r w:rsidR="001F2625" w:rsidRPr="0070605A">
        <w:rPr>
          <w:sz w:val="26"/>
          <w:szCs w:val="26"/>
        </w:rPr>
        <w:t>(по данным участников публичных консультаций</w:t>
      </w:r>
      <w:r w:rsidR="00AF202F">
        <w:rPr>
          <w:sz w:val="26"/>
          <w:szCs w:val="26"/>
        </w:rPr>
        <w:t>,</w:t>
      </w:r>
      <w:r w:rsidR="001F2625" w:rsidRPr="0070605A">
        <w:rPr>
          <w:sz w:val="26"/>
          <w:szCs w:val="26"/>
        </w:rPr>
        <w:t xml:space="preserve"> в отдельных случаях может насчитываться до 1,5 млн. человек)</w:t>
      </w:r>
      <w:r w:rsidRPr="0070605A">
        <w:rPr>
          <w:sz w:val="26"/>
          <w:szCs w:val="26"/>
        </w:rPr>
        <w:t>, и исполнение поступающих заявок в указанный срок может быть затруднительным или невозможным.</w:t>
      </w:r>
    </w:p>
    <w:p w:rsidR="0034357A" w:rsidRPr="0070605A" w:rsidRDefault="009329C6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Таким образом, считаем целесообразным разработчику рассмотреть возможность увеличения срока для исполнения обязанности по проверке приборов учета до 15 рабочих дней.</w:t>
      </w:r>
    </w:p>
    <w:p w:rsidR="0034357A" w:rsidRPr="0070605A" w:rsidRDefault="00E36A58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Пунктом 60(2) Правил № 354 в редакции проекта акта устанавливается ответст</w:t>
      </w:r>
      <w:r w:rsidR="0014196D" w:rsidRPr="0070605A">
        <w:rPr>
          <w:sz w:val="26"/>
          <w:szCs w:val="26"/>
        </w:rPr>
        <w:t>венность для потребителя за дву</w:t>
      </w:r>
      <w:r w:rsidRPr="0070605A">
        <w:rPr>
          <w:sz w:val="26"/>
          <w:szCs w:val="26"/>
        </w:rPr>
        <w:t xml:space="preserve">кратный </w:t>
      </w:r>
      <w:r w:rsidR="0014196D" w:rsidRPr="0070605A">
        <w:rPr>
          <w:sz w:val="26"/>
          <w:szCs w:val="26"/>
        </w:rPr>
        <w:t xml:space="preserve">и последующие </w:t>
      </w:r>
      <w:r w:rsidRPr="0070605A">
        <w:rPr>
          <w:sz w:val="26"/>
          <w:szCs w:val="26"/>
        </w:rPr>
        <w:t>недопуск</w:t>
      </w:r>
      <w:r w:rsidR="0014196D" w:rsidRPr="0070605A">
        <w:rPr>
          <w:sz w:val="26"/>
          <w:szCs w:val="26"/>
        </w:rPr>
        <w:t>и</w:t>
      </w:r>
      <w:r w:rsidRPr="0070605A">
        <w:rPr>
          <w:sz w:val="26"/>
          <w:szCs w:val="26"/>
        </w:rPr>
        <w:t xml:space="preserve"> в занимаемое им жилое помещение</w:t>
      </w:r>
      <w:r w:rsidR="0014196D" w:rsidRPr="0070605A">
        <w:rPr>
          <w:sz w:val="26"/>
          <w:szCs w:val="26"/>
        </w:rPr>
        <w:t xml:space="preserve"> представителей гарантирующего поставщика (сетевой организации – в отношении жилы домов (домовладений)) для установки индивидуальных, общих (квартирных) приборов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электрической энергии.</w:t>
      </w:r>
    </w:p>
    <w:p w:rsidR="00E36A58" w:rsidRPr="0070605A" w:rsidRDefault="0014196D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lastRenderedPageBreak/>
        <w:t>Вместе с тем из предлагаемой редакции указанного положения создается</w:t>
      </w:r>
      <w:r w:rsidR="00E36A58" w:rsidRPr="0070605A">
        <w:rPr>
          <w:sz w:val="26"/>
          <w:szCs w:val="26"/>
        </w:rPr>
        <w:t xml:space="preserve"> правов</w:t>
      </w:r>
      <w:r w:rsidRPr="0070605A">
        <w:rPr>
          <w:sz w:val="26"/>
          <w:szCs w:val="26"/>
        </w:rPr>
        <w:t>ая</w:t>
      </w:r>
      <w:r w:rsidR="00E36A58" w:rsidRPr="0070605A">
        <w:rPr>
          <w:sz w:val="26"/>
          <w:szCs w:val="26"/>
        </w:rPr>
        <w:t xml:space="preserve"> неопределенность в отношении собственников нежилых помещений, не обеспечивающих допуск в их помещения.</w:t>
      </w:r>
    </w:p>
    <w:p w:rsidR="00E36A58" w:rsidRPr="0070605A" w:rsidRDefault="00E36A58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Тем самым устанавливается ответственность только</w:t>
      </w:r>
      <w:r w:rsidR="001F2625" w:rsidRPr="0070605A">
        <w:rPr>
          <w:sz w:val="26"/>
          <w:szCs w:val="26"/>
        </w:rPr>
        <w:t xml:space="preserve"> в отношении</w:t>
      </w:r>
      <w:r w:rsidRPr="0070605A">
        <w:rPr>
          <w:sz w:val="26"/>
          <w:szCs w:val="26"/>
        </w:rPr>
        <w:t xml:space="preserve"> собственников жилых помещений, что нарушает принцип равенства.</w:t>
      </w:r>
    </w:p>
    <w:p w:rsidR="00E36A58" w:rsidRPr="0070605A" w:rsidRDefault="00E36A58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считаем целесообразным </w:t>
      </w:r>
      <w:r w:rsidR="0014196D" w:rsidRPr="0070605A">
        <w:rPr>
          <w:sz w:val="26"/>
          <w:szCs w:val="26"/>
        </w:rPr>
        <w:t xml:space="preserve">доработать пункт 60(2) Правил № 354 </w:t>
      </w:r>
      <w:r w:rsidR="0014196D" w:rsidRPr="0070605A">
        <w:rPr>
          <w:sz w:val="26"/>
          <w:szCs w:val="26"/>
        </w:rPr>
        <w:br/>
        <w:t>в редакции проекта в указанной части.</w:t>
      </w:r>
    </w:p>
    <w:p w:rsidR="00881B5C" w:rsidRPr="0070605A" w:rsidRDefault="0014196D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 соответствии с абзацем 4 пункта 80(1) Правил № 354 в редакции проекта акта</w:t>
      </w:r>
      <w:r w:rsidR="001F2625" w:rsidRPr="0070605A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начиная с 1 июля 2020 г. эксплуатация индивидуальных приборов учета электрической энергии в жилом доме (домовладении) осуществляется собственником прибора учета электрической энергии в порядке, предусмотренном Правилами № 354, </w:t>
      </w:r>
      <w:r w:rsidR="0070605A">
        <w:rPr>
          <w:sz w:val="26"/>
          <w:szCs w:val="26"/>
        </w:rPr>
        <w:br/>
      </w:r>
      <w:r w:rsidR="00B81E4A" w:rsidRPr="0070605A">
        <w:rPr>
          <w:sz w:val="26"/>
          <w:szCs w:val="26"/>
        </w:rPr>
        <w:t>что не с</w:t>
      </w:r>
      <w:r w:rsidR="00881B5C" w:rsidRPr="0070605A">
        <w:rPr>
          <w:sz w:val="26"/>
          <w:szCs w:val="26"/>
        </w:rPr>
        <w:t>оотносится с абзацем четвертым</w:t>
      </w:r>
      <w:r w:rsidR="00B81E4A" w:rsidRPr="0070605A">
        <w:rPr>
          <w:sz w:val="26"/>
          <w:szCs w:val="26"/>
        </w:rPr>
        <w:t xml:space="preserve"> част</w:t>
      </w:r>
      <w:r w:rsidR="00881B5C" w:rsidRPr="0070605A">
        <w:rPr>
          <w:sz w:val="26"/>
          <w:szCs w:val="26"/>
        </w:rPr>
        <w:t>и</w:t>
      </w:r>
      <w:r w:rsidR="00B81E4A" w:rsidRPr="0070605A">
        <w:rPr>
          <w:sz w:val="26"/>
          <w:szCs w:val="26"/>
        </w:rPr>
        <w:t xml:space="preserve"> 5 статьи 37 Закона № 35, согласно которо</w:t>
      </w:r>
      <w:r w:rsidR="00881B5C" w:rsidRPr="0070605A">
        <w:rPr>
          <w:sz w:val="26"/>
          <w:szCs w:val="26"/>
        </w:rPr>
        <w:t>му</w:t>
      </w:r>
      <w:r w:rsidR="00B81E4A" w:rsidRPr="0070605A">
        <w:rPr>
          <w:sz w:val="26"/>
          <w:szCs w:val="26"/>
        </w:rPr>
        <w:t xml:space="preserve"> эксплуатация таких приборов учета осуществляет сетевая организация.</w:t>
      </w:r>
    </w:p>
    <w:p w:rsidR="00881B5C" w:rsidRPr="0070605A" w:rsidRDefault="00881B5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Учитывая изложенное, представляется целесообразным доработать редакцию проекта акта в части соотнесения его положений с требованиями законодательства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об электроэнергетике. </w:t>
      </w:r>
    </w:p>
    <w:p w:rsidR="0014196D" w:rsidRPr="0070605A" w:rsidRDefault="0014196D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 соответствии с абзацем 5 пункта 80(1) Правил № 354 в редакции проекта акта собственники помещений в многоквартирном доме и жилых домов (домовладений) обеспечивают допуск гарантирующего поставщика (сетевой организации — в отношении жилого дома (домовладения)) к местам установки приборов учета для организации учета электрической энергии, в том числе для присоединения прибора учета электрической энергии к интеллектуальной системе учета.</w:t>
      </w:r>
    </w:p>
    <w:p w:rsidR="00E36A58" w:rsidRPr="0070605A" w:rsidRDefault="0014196D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При этом считаем целесообразным уточнить, что допуск гарантирующих поставщиков/сетевых организаций в жилые помещения для установки приборов учета должны обеспечивать не только собственники таких помещений, но и наниматели, арендаторы.</w:t>
      </w:r>
    </w:p>
    <w:p w:rsidR="0014196D" w:rsidRPr="0070605A" w:rsidRDefault="0014196D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соответствии с </w:t>
      </w:r>
      <w:r w:rsidR="0093088F" w:rsidRPr="0070605A">
        <w:rPr>
          <w:sz w:val="26"/>
          <w:szCs w:val="26"/>
        </w:rPr>
        <w:t xml:space="preserve">пунктом 80(2) Правил № 354 в редакции проекта акта </w:t>
      </w:r>
      <w:r w:rsidR="00C877DE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 xml:space="preserve">в случае непредоставления </w:t>
      </w:r>
      <w:r w:rsidR="00E92BE3" w:rsidRPr="0070605A">
        <w:rPr>
          <w:sz w:val="26"/>
          <w:szCs w:val="26"/>
        </w:rPr>
        <w:t>гарантирующим поставщиком или сетевой организацией</w:t>
      </w:r>
      <w:r w:rsidR="002410B4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 xml:space="preserve">по истечении установленного срока показаний прибора учета, подключенного </w:t>
      </w:r>
      <w:r w:rsidR="00E92BE3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 xml:space="preserve">к интеллектуальной системе, стоимость коммунальных услуг по электроснабжению, предоставляемых потребителю, в отношении которого нарушены соответствующие обязанности, снижается на величину, равную 20% от стоимости коммунальных услуг </w:t>
      </w:r>
      <w:r w:rsidR="002410B4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 xml:space="preserve">по электроснабжению за каждый месяц с момента истечения указанного выше срока </w:t>
      </w:r>
      <w:r w:rsidR="00E92BE3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lastRenderedPageBreak/>
        <w:t xml:space="preserve">в отношении гарантирующих поставщиков (для сетевых организаций с момента истечения срока указанного в Правилах организации учета электрической энергии на розничных рынках) до даты ввода прибора учета в эксплуатацию (предоставления показаний прибора учета). Начиная с 4-го месяца со дня истечения указанного выше срока, величина снижения стоимости коммунальных услуг по электроснабжению составляет 40% </w:t>
      </w:r>
      <w:r w:rsidR="00E92BE3" w:rsidRPr="0070605A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>от стоимости таких услуг вплоть до даты ввода прибора учета в эксплуатацию (предоставления показаний прибора учета).</w:t>
      </w:r>
    </w:p>
    <w:p w:rsidR="0093088F" w:rsidRPr="0070605A" w:rsidRDefault="0093088F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Вместе с тем в соответствии с абзацем 9 пункта 5 статьи 37 Закона № 35-ФЗ </w:t>
      </w:r>
      <w:r w:rsidR="00E92BE3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(мощности) субъект электроэнергетики или потребитель электрической энергии (мощности) вправе потребовать уплаты штрафа. Размер штрафа устанавливается в виде фиксированной суммы, определенной в порядке, установленном правилами предоставления доступа </w:t>
      </w:r>
      <w:r w:rsidR="00C877DE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к минимальному набору функций интеллектуальных систем учета электрической энергии (мощности).</w:t>
      </w:r>
    </w:p>
    <w:p w:rsidR="0014196D" w:rsidRPr="0070605A" w:rsidRDefault="0013704E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полагаем целесообразным </w:t>
      </w:r>
      <w:r w:rsidR="00E92BE3" w:rsidRPr="0070605A">
        <w:rPr>
          <w:sz w:val="26"/>
          <w:szCs w:val="26"/>
        </w:rPr>
        <w:t>рассмотреть возможность исключения положений проекта акта в части снижения</w:t>
      </w:r>
      <w:r w:rsidR="0093088F" w:rsidRPr="0070605A">
        <w:rPr>
          <w:sz w:val="26"/>
          <w:szCs w:val="26"/>
        </w:rPr>
        <w:t xml:space="preserve"> размера платы при непредставлении показаний прибора учета, присоединенного к и</w:t>
      </w:r>
      <w:r w:rsidRPr="0070605A">
        <w:rPr>
          <w:sz w:val="26"/>
          <w:szCs w:val="26"/>
        </w:rPr>
        <w:t>нтеллектуальной системе учета</w:t>
      </w:r>
      <w:r w:rsidR="00AF202F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</w:t>
      </w:r>
      <w:r w:rsidR="00AF202F">
        <w:rPr>
          <w:sz w:val="26"/>
          <w:szCs w:val="26"/>
        </w:rPr>
        <w:t>во</w:t>
      </w:r>
      <w:r w:rsidRPr="0070605A">
        <w:rPr>
          <w:sz w:val="26"/>
          <w:szCs w:val="26"/>
        </w:rPr>
        <w:t xml:space="preserve"> избежани</w:t>
      </w:r>
      <w:r w:rsidR="00AF202F">
        <w:rPr>
          <w:sz w:val="26"/>
          <w:szCs w:val="26"/>
        </w:rPr>
        <w:t>е</w:t>
      </w:r>
      <w:r w:rsidRPr="0070605A">
        <w:rPr>
          <w:sz w:val="26"/>
          <w:szCs w:val="26"/>
        </w:rPr>
        <w:t xml:space="preserve"> двойного наказания гарантирующих поставщиков и сетевых организаций за одно и тоже нарушение</w:t>
      </w:r>
      <w:r w:rsidR="0093088F" w:rsidRPr="0070605A">
        <w:rPr>
          <w:sz w:val="26"/>
          <w:szCs w:val="26"/>
        </w:rPr>
        <w:t xml:space="preserve"> (штраф в пользу потребителя и снижение платы за коммунальную услугу</w:t>
      </w:r>
      <w:r w:rsidR="00AF202F">
        <w:rPr>
          <w:sz w:val="26"/>
          <w:szCs w:val="26"/>
        </w:rPr>
        <w:br/>
      </w:r>
      <w:r w:rsidR="0093088F" w:rsidRPr="0070605A">
        <w:rPr>
          <w:sz w:val="26"/>
          <w:szCs w:val="26"/>
        </w:rPr>
        <w:t>по электроснабжению в пользу этого же потребителя).</w:t>
      </w:r>
    </w:p>
    <w:p w:rsidR="0013704E" w:rsidRPr="0070605A" w:rsidRDefault="0013704E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Пункт</w:t>
      </w:r>
      <w:r w:rsidR="00E92BE3" w:rsidRPr="0070605A">
        <w:rPr>
          <w:sz w:val="26"/>
          <w:szCs w:val="26"/>
        </w:rPr>
        <w:t>ом</w:t>
      </w:r>
      <w:r w:rsidRPr="0070605A">
        <w:rPr>
          <w:sz w:val="26"/>
          <w:szCs w:val="26"/>
        </w:rPr>
        <w:t xml:space="preserve"> 80(2) </w:t>
      </w:r>
      <w:r w:rsidR="00E92BE3" w:rsidRPr="0070605A">
        <w:rPr>
          <w:sz w:val="26"/>
          <w:szCs w:val="26"/>
        </w:rPr>
        <w:t xml:space="preserve">Правил № 354 </w:t>
      </w:r>
      <w:r w:rsidRPr="0070605A">
        <w:rPr>
          <w:sz w:val="26"/>
          <w:szCs w:val="26"/>
        </w:rPr>
        <w:t xml:space="preserve">в редакции </w:t>
      </w:r>
      <w:r w:rsidR="00E92BE3" w:rsidRPr="0070605A">
        <w:rPr>
          <w:sz w:val="26"/>
          <w:szCs w:val="26"/>
        </w:rPr>
        <w:t>предусматривается регулировани</w:t>
      </w:r>
      <w:r w:rsidR="00AF202F">
        <w:rPr>
          <w:sz w:val="26"/>
          <w:szCs w:val="26"/>
        </w:rPr>
        <w:t>е</w:t>
      </w:r>
      <w:r w:rsidR="00E92BE3" w:rsidRPr="0070605A">
        <w:rPr>
          <w:sz w:val="26"/>
          <w:szCs w:val="26"/>
        </w:rPr>
        <w:t xml:space="preserve">, направленное в целом </w:t>
      </w:r>
      <w:r w:rsidRPr="0070605A">
        <w:rPr>
          <w:sz w:val="26"/>
          <w:szCs w:val="26"/>
        </w:rPr>
        <w:t>на защиту интересов собственников помещений в многоквартирном доме</w:t>
      </w:r>
      <w:r w:rsidR="00AF202F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в части сроков установки приборов учета и порядка снижения стоимости </w:t>
      </w:r>
      <w:r w:rsidR="002410B4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на коммунальные услуги по электроснабжению</w:t>
      </w:r>
      <w:r w:rsidR="005E25EA" w:rsidRPr="0070605A">
        <w:rPr>
          <w:sz w:val="26"/>
          <w:szCs w:val="26"/>
        </w:rPr>
        <w:t xml:space="preserve"> в случае неисполнения гарантирующим поставщиком, сетевой организацией своих обязанностей.</w:t>
      </w:r>
    </w:p>
    <w:p w:rsidR="009663D4" w:rsidRPr="0070605A" w:rsidRDefault="005E25EA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Таким образом</w:t>
      </w:r>
      <w:r w:rsidR="00AF202F">
        <w:rPr>
          <w:sz w:val="26"/>
          <w:szCs w:val="26"/>
        </w:rPr>
        <w:t>,</w:t>
      </w:r>
      <w:r w:rsidR="009663D4" w:rsidRPr="0070605A">
        <w:rPr>
          <w:sz w:val="26"/>
          <w:szCs w:val="26"/>
        </w:rPr>
        <w:t xml:space="preserve"> в целях учета интересов иных субъектов устанавливаемых правоотношений представляется це</w:t>
      </w:r>
      <w:r w:rsidRPr="0070605A">
        <w:rPr>
          <w:sz w:val="26"/>
          <w:szCs w:val="26"/>
        </w:rPr>
        <w:t>лесообразным в пункте 80(2) Правил № 354 в редакции проекта акта</w:t>
      </w:r>
      <w:r w:rsidR="00502729" w:rsidRPr="0070605A">
        <w:rPr>
          <w:sz w:val="26"/>
          <w:szCs w:val="26"/>
        </w:rPr>
        <w:t xml:space="preserve"> прямо</w:t>
      </w:r>
      <w:r w:rsidR="009663D4" w:rsidRPr="0070605A">
        <w:rPr>
          <w:sz w:val="26"/>
          <w:szCs w:val="26"/>
        </w:rPr>
        <w:t xml:space="preserve"> предусмотреть:</w:t>
      </w:r>
    </w:p>
    <w:p w:rsidR="009663D4" w:rsidRPr="0070605A" w:rsidRDefault="009663D4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- </w:t>
      </w:r>
      <w:r w:rsidR="005E25EA" w:rsidRPr="0070605A">
        <w:rPr>
          <w:sz w:val="26"/>
          <w:szCs w:val="26"/>
        </w:rPr>
        <w:t>идентичные сроки установки (замены) приборов учета в домовладении</w:t>
      </w:r>
      <w:r w:rsidRPr="0070605A">
        <w:rPr>
          <w:sz w:val="26"/>
          <w:szCs w:val="26"/>
        </w:rPr>
        <w:t xml:space="preserve"> </w:t>
      </w:r>
      <w:r w:rsidR="002410B4" w:rsidRPr="0070605A">
        <w:rPr>
          <w:sz w:val="26"/>
          <w:szCs w:val="26"/>
        </w:rPr>
        <w:br/>
      </w:r>
      <w:r w:rsidR="005E25EA" w:rsidRPr="0070605A">
        <w:rPr>
          <w:sz w:val="26"/>
          <w:szCs w:val="26"/>
        </w:rPr>
        <w:t>и многоквартирном доме;</w:t>
      </w:r>
      <w:r w:rsidRPr="0070605A">
        <w:rPr>
          <w:sz w:val="26"/>
          <w:szCs w:val="26"/>
        </w:rPr>
        <w:t xml:space="preserve"> </w:t>
      </w:r>
    </w:p>
    <w:p w:rsidR="005E25EA" w:rsidRPr="0070605A" w:rsidRDefault="009663D4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lastRenderedPageBreak/>
        <w:t xml:space="preserve">- механизм </w:t>
      </w:r>
      <w:r w:rsidR="005E25EA" w:rsidRPr="0070605A">
        <w:rPr>
          <w:sz w:val="26"/>
          <w:szCs w:val="26"/>
        </w:rPr>
        <w:t>сниж</w:t>
      </w:r>
      <w:r w:rsidRPr="0070605A">
        <w:rPr>
          <w:sz w:val="26"/>
          <w:szCs w:val="26"/>
        </w:rPr>
        <w:t xml:space="preserve">ения платы </w:t>
      </w:r>
      <w:r w:rsidR="005E25EA" w:rsidRPr="0070605A">
        <w:rPr>
          <w:sz w:val="26"/>
          <w:szCs w:val="26"/>
        </w:rPr>
        <w:t xml:space="preserve">только в объеме индивидуального потребления, </w:t>
      </w:r>
      <w:r w:rsidR="002410B4" w:rsidRPr="0070605A">
        <w:rPr>
          <w:sz w:val="26"/>
          <w:szCs w:val="26"/>
        </w:rPr>
        <w:br/>
      </w:r>
      <w:r w:rsidR="005E25EA" w:rsidRPr="0070605A">
        <w:rPr>
          <w:sz w:val="26"/>
          <w:szCs w:val="26"/>
        </w:rPr>
        <w:t>т.к. нарушение</w:t>
      </w:r>
      <w:r w:rsidRPr="0070605A">
        <w:rPr>
          <w:sz w:val="26"/>
          <w:szCs w:val="26"/>
        </w:rPr>
        <w:t xml:space="preserve"> требований пункта 80(2) Правил № 354 в редакции проекта акта осуществляется</w:t>
      </w:r>
      <w:r w:rsidR="005E25EA" w:rsidRPr="0070605A">
        <w:rPr>
          <w:sz w:val="26"/>
          <w:szCs w:val="26"/>
        </w:rPr>
        <w:t xml:space="preserve"> в отношении индивидуального прибора учета;</w:t>
      </w:r>
    </w:p>
    <w:p w:rsidR="0013704E" w:rsidRPr="0070605A" w:rsidRDefault="00502729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- снижение платы г</w:t>
      </w:r>
      <w:r w:rsidR="005E25EA" w:rsidRPr="0070605A">
        <w:rPr>
          <w:sz w:val="26"/>
          <w:szCs w:val="26"/>
        </w:rPr>
        <w:t>арантирующи</w:t>
      </w:r>
      <w:r w:rsidRPr="0070605A">
        <w:rPr>
          <w:sz w:val="26"/>
          <w:szCs w:val="26"/>
        </w:rPr>
        <w:t>м</w:t>
      </w:r>
      <w:r w:rsidR="005E25EA" w:rsidRPr="0070605A">
        <w:rPr>
          <w:sz w:val="26"/>
          <w:szCs w:val="26"/>
        </w:rPr>
        <w:t xml:space="preserve"> поставщик</w:t>
      </w:r>
      <w:r w:rsidRPr="0070605A">
        <w:rPr>
          <w:sz w:val="26"/>
          <w:szCs w:val="26"/>
        </w:rPr>
        <w:t>ом</w:t>
      </w:r>
      <w:r w:rsidR="00AF202F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</w:t>
      </w:r>
      <w:r w:rsidR="005E25EA" w:rsidRPr="0070605A">
        <w:rPr>
          <w:sz w:val="26"/>
          <w:szCs w:val="26"/>
        </w:rPr>
        <w:t>как и исполнител</w:t>
      </w:r>
      <w:r w:rsidRPr="0070605A">
        <w:rPr>
          <w:sz w:val="26"/>
          <w:szCs w:val="26"/>
        </w:rPr>
        <w:t>ем</w:t>
      </w:r>
      <w:r w:rsidR="00AF202F">
        <w:rPr>
          <w:sz w:val="26"/>
          <w:szCs w:val="26"/>
        </w:rPr>
        <w:t>,</w:t>
      </w:r>
      <w:r w:rsidR="005E25EA" w:rsidRPr="0070605A">
        <w:rPr>
          <w:sz w:val="26"/>
          <w:szCs w:val="26"/>
        </w:rPr>
        <w:t xml:space="preserve"> в том же расчетном периоде и в том размере, в котором снижение стоимости было учтено сетевой организацией по договору оказания услуг по передаче.</w:t>
      </w:r>
    </w:p>
    <w:p w:rsidR="00CC6B0C" w:rsidRPr="0070605A" w:rsidRDefault="00CC6B0C" w:rsidP="0070605A">
      <w:pPr>
        <w:numPr>
          <w:ilvl w:val="0"/>
          <w:numId w:val="42"/>
        </w:numPr>
        <w:spacing w:line="348" w:lineRule="auto"/>
        <w:ind w:left="0"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 проекте акта целый ряд пунктов Правил № 354 предусматривают обязанность гарантирующего поставщика по установке и замене как индивидуальных</w:t>
      </w:r>
      <w:r w:rsidR="00AF202F">
        <w:rPr>
          <w:sz w:val="26"/>
          <w:szCs w:val="26"/>
        </w:rPr>
        <w:br/>
      </w:r>
      <w:r w:rsidRPr="0070605A">
        <w:rPr>
          <w:sz w:val="26"/>
          <w:szCs w:val="26"/>
        </w:rPr>
        <w:t>(для отдельных квартир), так и общих (квартирных) и комнатных приборов учета электрической энергии (для коммунальных квартир) с возможностью (обязанностью) подключения комнатных приборов учета к интеллектуальным системам учета.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В частности, соответствующие положения упоминаются в следующих пунктах Правил № 354 в редакции проекта акта: подпункты «е(1)», «ж» пункта 31; подпункты «к(1)», «к(7)» пункта 33; «ж» пункта 34; пункты 80, 80(1).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Вместе с тем Закон № 35-ФЗ, </w:t>
      </w:r>
      <w:r w:rsidR="002539FE" w:rsidRPr="0070605A">
        <w:rPr>
          <w:sz w:val="26"/>
          <w:szCs w:val="26"/>
        </w:rPr>
        <w:t>Закон</w:t>
      </w:r>
      <w:r w:rsidRPr="0070605A">
        <w:rPr>
          <w:sz w:val="26"/>
          <w:szCs w:val="26"/>
        </w:rPr>
        <w:t xml:space="preserve"> 261-ФЗ не содержат упоминания комнатных приборов учета и не относят их к числу прибор</w:t>
      </w:r>
      <w:r w:rsidR="00AF202F">
        <w:rPr>
          <w:sz w:val="26"/>
          <w:szCs w:val="26"/>
        </w:rPr>
        <w:t>ы</w:t>
      </w:r>
      <w:r w:rsidRPr="0070605A">
        <w:rPr>
          <w:sz w:val="26"/>
          <w:szCs w:val="26"/>
        </w:rPr>
        <w:t xml:space="preserve"> учета, которыми должны быть </w:t>
      </w:r>
      <w:r w:rsidR="00C877DE" w:rsidRPr="0070605A">
        <w:rPr>
          <w:sz w:val="26"/>
          <w:szCs w:val="26"/>
        </w:rPr>
        <w:br/>
      </w:r>
      <w:r w:rsidRPr="0070605A">
        <w:rPr>
          <w:sz w:val="26"/>
          <w:szCs w:val="26"/>
        </w:rPr>
        <w:t>в обязательном порядке оборудованы объекты жилого фонда.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частности, статья 13 Закона № 261-ФЗ к числу обязательных приборов учета относит лишь индивидуальные (для отдельных квартир) и общие (квартирные)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t>(для коммунальных квартир) приборы учета электрической энергии.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Аналогично часть 5 статьи 37 Закона № 35-ФЗ в отношении вновь вводимых </w:t>
      </w:r>
      <w:r w:rsidRPr="0070605A">
        <w:rPr>
          <w:sz w:val="26"/>
          <w:szCs w:val="26"/>
        </w:rPr>
        <w:br/>
        <w:t xml:space="preserve">в эксплуатацию многоквартирных домов также предусматривает их оборудование индивидуальными и общими (квартирными) приборами учета. 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возложение на гарантирующего поставщика безусловной обязанности по установке и замене комнатных приборов учета </w:t>
      </w:r>
      <w:r w:rsidR="00502729" w:rsidRPr="0070605A">
        <w:rPr>
          <w:sz w:val="26"/>
          <w:szCs w:val="26"/>
        </w:rPr>
        <w:t>не в полной мере соответствует</w:t>
      </w:r>
      <w:r w:rsidRPr="0070605A">
        <w:rPr>
          <w:sz w:val="26"/>
          <w:szCs w:val="26"/>
        </w:rPr>
        <w:t xml:space="preserve"> законодательству Российской Федерации в части электроснабжения, обладающ</w:t>
      </w:r>
      <w:r w:rsidR="00AF202F">
        <w:rPr>
          <w:sz w:val="26"/>
          <w:szCs w:val="26"/>
        </w:rPr>
        <w:t>ему</w:t>
      </w:r>
      <w:r w:rsidRPr="0070605A">
        <w:rPr>
          <w:sz w:val="26"/>
          <w:szCs w:val="26"/>
        </w:rPr>
        <w:t xml:space="preserve"> большей юридической силой.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В настоящее время (пока обязанность по обеспечению учета возложена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на собственников помещений) комнатные приборы учета электрической энергии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t xml:space="preserve">также не являются обязательными к установке и используются в расчетах только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t>в определенных случаях.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Следует отметить, что, например, в Санкт-Петербурге сохраняется наибольшее число коммунальных квартир среди всех субъектов Российской Федерации (около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lastRenderedPageBreak/>
        <w:t>100</w:t>
      </w:r>
      <w:r w:rsidR="00595851">
        <w:rPr>
          <w:sz w:val="26"/>
          <w:szCs w:val="26"/>
        </w:rPr>
        <w:t> </w:t>
      </w:r>
      <w:r w:rsidRPr="0070605A">
        <w:rPr>
          <w:sz w:val="26"/>
          <w:szCs w:val="26"/>
        </w:rPr>
        <w:t>000). Даже если обязанность по установке и замене комнатных счетчиков будет носить для гарантирующего поставщика заявительный характер</w:t>
      </w:r>
      <w:r w:rsidR="00AF202F">
        <w:rPr>
          <w:sz w:val="26"/>
          <w:szCs w:val="26"/>
        </w:rPr>
        <w:t>,</w:t>
      </w:r>
      <w:r w:rsidRPr="0070605A">
        <w:rPr>
          <w:sz w:val="26"/>
          <w:szCs w:val="26"/>
        </w:rPr>
        <w:t xml:space="preserve"> многие потребители захотят воспользоваться этой возможностью, что существенно увеличит затраты гарантирующего поставщика на выполнение необходимых мероприятий (учитывая, что коммунальные квартиры, как правило, состоят более чем из двух комнат).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При этом установка комнатных приборов учета сопряжена не только </w:t>
      </w:r>
      <w:r w:rsidR="00595851">
        <w:rPr>
          <w:sz w:val="26"/>
          <w:szCs w:val="26"/>
        </w:rPr>
        <w:br/>
      </w:r>
      <w:r w:rsidRPr="0070605A">
        <w:rPr>
          <w:sz w:val="26"/>
          <w:szCs w:val="26"/>
        </w:rPr>
        <w:t>с необходимостью закупки и монтажа самого оборудования, но и с индивидуальным аудитом схемы учета электрической энергии в каждой коммунальной квартире, который осложняется тем, что большинство таких квартир находятся в старом жилом фонде.</w:t>
      </w:r>
    </w:p>
    <w:p w:rsidR="00CC6B0C" w:rsidRPr="0070605A" w:rsidRDefault="00CC6B0C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Таким образом, считаем целесообразным предусмотреть в Правилах № 354 </w:t>
      </w:r>
      <w:r w:rsidRPr="0070605A">
        <w:rPr>
          <w:sz w:val="26"/>
          <w:szCs w:val="26"/>
        </w:rPr>
        <w:br/>
        <w:t>в редакции проекта акта, что обязанность гарантирующего поставщика по организации учета распространяется только на индивидуальные и общие (квартирные) счетчики, комнатные приборы учета (как и в настоящее время)</w:t>
      </w:r>
      <w:r w:rsidR="00502729" w:rsidRPr="0070605A">
        <w:rPr>
          <w:sz w:val="26"/>
          <w:szCs w:val="26"/>
        </w:rPr>
        <w:t>, которые</w:t>
      </w:r>
      <w:r w:rsidRPr="0070605A">
        <w:rPr>
          <w:sz w:val="26"/>
          <w:szCs w:val="26"/>
        </w:rPr>
        <w:t xml:space="preserve"> могут устанавливаться потребителями самостоятельно и за свой счет, при этом их присоединение </w:t>
      </w:r>
      <w:r w:rsidRPr="0070605A">
        <w:rPr>
          <w:sz w:val="26"/>
          <w:szCs w:val="26"/>
        </w:rPr>
        <w:br/>
        <w:t xml:space="preserve">к интеллектуальным системам учета осуществляется гарантирующим поставщиком только в случаях, когда комнатный прибор учета соответствуют требованиям минимального функционала интеллектуальной системы учета и схема организации учета электрической энергии в соответствующей коммунальной квартире </w:t>
      </w:r>
      <w:r w:rsidR="00502729" w:rsidRPr="0070605A">
        <w:rPr>
          <w:sz w:val="26"/>
          <w:szCs w:val="26"/>
        </w:rPr>
        <w:t xml:space="preserve">и </w:t>
      </w:r>
      <w:r w:rsidRPr="0070605A">
        <w:rPr>
          <w:sz w:val="26"/>
          <w:szCs w:val="26"/>
        </w:rPr>
        <w:t>отвечает требованиям законодательства Российской Федерации, а также исключить по тексту проекта акта словосочетание «комнатных приборов учета» в нормах, регулирующих исполнение гарантирующим поставщиком обязанности по установке прибора учета.</w:t>
      </w:r>
    </w:p>
    <w:p w:rsidR="00073575" w:rsidRPr="0070605A" w:rsidRDefault="00073575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5B5D5F" w:rsidRPr="0070605A" w:rsidRDefault="005B5D5F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>Наличие проблемы и целесообразность ее решения с помощью регулирования, предусмотренного проектом акта, разработчиком обоснованы.</w:t>
      </w:r>
    </w:p>
    <w:p w:rsidR="006D6010" w:rsidRPr="0070605A" w:rsidRDefault="001141B5" w:rsidP="0070605A">
      <w:pPr>
        <w:spacing w:line="348" w:lineRule="auto"/>
        <w:ind w:firstLine="709"/>
        <w:contextualSpacing/>
        <w:jc w:val="both"/>
        <w:rPr>
          <w:sz w:val="26"/>
          <w:szCs w:val="26"/>
        </w:rPr>
      </w:pPr>
      <w:r w:rsidRPr="0070605A">
        <w:rPr>
          <w:sz w:val="26"/>
          <w:szCs w:val="26"/>
        </w:rPr>
        <w:t xml:space="preserve">С учетом информации, представленной разработчиком, в проекте акта выявлены положения, вводящие избыточные обязанности, запреты и ограничения для физических </w:t>
      </w:r>
      <w:r w:rsidRPr="0070605A">
        <w:rPr>
          <w:sz w:val="26"/>
          <w:szCs w:val="26"/>
        </w:rPr>
        <w:br/>
        <w:t xml:space="preserve"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 w:rsidRPr="0070605A">
        <w:rPr>
          <w:sz w:val="26"/>
          <w:szCs w:val="26"/>
        </w:rPr>
        <w:br/>
        <w:t>и иной экономической деятельности.</w:t>
      </w:r>
      <w:r w:rsidR="00377B00" w:rsidRPr="0070605A">
        <w:rPr>
          <w:sz w:val="26"/>
          <w:szCs w:val="26"/>
        </w:rPr>
        <w:t xml:space="preserve"> </w:t>
      </w:r>
    </w:p>
    <w:p w:rsidR="00FF4E74" w:rsidRPr="00B72F40" w:rsidRDefault="00FF4E74" w:rsidP="00B72F40">
      <w:pPr>
        <w:spacing w:line="348" w:lineRule="auto"/>
        <w:ind w:firstLine="709"/>
        <w:contextualSpacing/>
        <w:jc w:val="both"/>
        <w:rPr>
          <w:sz w:val="26"/>
          <w:szCs w:val="26"/>
        </w:rPr>
      </w:pPr>
    </w:p>
    <w:sectPr w:rsidR="00FF4E74" w:rsidRPr="00B72F40" w:rsidSect="00D455BD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74" w:rsidRDefault="00A76F74">
      <w:r>
        <w:separator/>
      </w:r>
    </w:p>
  </w:endnote>
  <w:endnote w:type="continuationSeparator" w:id="0">
    <w:p w:rsidR="00A76F74" w:rsidRDefault="00A7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74" w:rsidRDefault="00A76F74">
      <w:r>
        <w:separator/>
      </w:r>
    </w:p>
  </w:footnote>
  <w:footnote w:type="continuationSeparator" w:id="0">
    <w:p w:rsidR="00A76F74" w:rsidRDefault="00A7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2F40">
      <w:rPr>
        <w:noProof/>
      </w:rPr>
      <w:t>4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287D92"/>
    <w:multiLevelType w:val="hybridMultilevel"/>
    <w:tmpl w:val="8220ABD0"/>
    <w:lvl w:ilvl="0" w:tplc="886C0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31921"/>
    <w:multiLevelType w:val="hybridMultilevel"/>
    <w:tmpl w:val="025A88E6"/>
    <w:lvl w:ilvl="0" w:tplc="52C6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46BC9"/>
    <w:multiLevelType w:val="hybridMultilevel"/>
    <w:tmpl w:val="38F8D1AE"/>
    <w:lvl w:ilvl="0" w:tplc="04DA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EBB"/>
    <w:multiLevelType w:val="hybridMultilevel"/>
    <w:tmpl w:val="62F0EE2A"/>
    <w:lvl w:ilvl="0" w:tplc="E60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80C76"/>
    <w:multiLevelType w:val="hybridMultilevel"/>
    <w:tmpl w:val="317CE4E6"/>
    <w:lvl w:ilvl="0" w:tplc="5A26B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A9596C"/>
    <w:multiLevelType w:val="hybridMultilevel"/>
    <w:tmpl w:val="53766808"/>
    <w:lvl w:ilvl="0" w:tplc="9844E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4D0193"/>
    <w:multiLevelType w:val="hybridMultilevel"/>
    <w:tmpl w:val="6936C69A"/>
    <w:lvl w:ilvl="0" w:tplc="4D32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876F31"/>
    <w:multiLevelType w:val="hybridMultilevel"/>
    <w:tmpl w:val="F5B82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16"/>
  </w:num>
  <w:num w:numId="5">
    <w:abstractNumId w:val="21"/>
  </w:num>
  <w:num w:numId="6">
    <w:abstractNumId w:val="10"/>
  </w:num>
  <w:num w:numId="7">
    <w:abstractNumId w:val="3"/>
  </w:num>
  <w:num w:numId="8">
    <w:abstractNumId w:val="26"/>
  </w:num>
  <w:num w:numId="9">
    <w:abstractNumId w:val="1"/>
  </w:num>
  <w:num w:numId="10">
    <w:abstractNumId w:val="22"/>
  </w:num>
  <w:num w:numId="11">
    <w:abstractNumId w:val="24"/>
  </w:num>
  <w:num w:numId="12">
    <w:abstractNumId w:val="27"/>
  </w:num>
  <w:num w:numId="13">
    <w:abstractNumId w:val="11"/>
  </w:num>
  <w:num w:numId="14">
    <w:abstractNumId w:val="29"/>
  </w:num>
  <w:num w:numId="15">
    <w:abstractNumId w:val="31"/>
  </w:num>
  <w:num w:numId="16">
    <w:abstractNumId w:val="15"/>
  </w:num>
  <w:num w:numId="17">
    <w:abstractNumId w:val="8"/>
  </w:num>
  <w:num w:numId="18">
    <w:abstractNumId w:val="37"/>
  </w:num>
  <w:num w:numId="19">
    <w:abstractNumId w:val="2"/>
  </w:num>
  <w:num w:numId="20">
    <w:abstractNumId w:val="23"/>
  </w:num>
  <w:num w:numId="21">
    <w:abstractNumId w:val="35"/>
  </w:num>
  <w:num w:numId="22">
    <w:abstractNumId w:val="25"/>
  </w:num>
  <w:num w:numId="23">
    <w:abstractNumId w:val="4"/>
  </w:num>
  <w:num w:numId="24">
    <w:abstractNumId w:val="23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3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3"/>
  </w:num>
  <w:num w:numId="31">
    <w:abstractNumId w:val="0"/>
  </w:num>
  <w:num w:numId="32">
    <w:abstractNumId w:val="36"/>
  </w:num>
  <w:num w:numId="33">
    <w:abstractNumId w:val="28"/>
  </w:num>
  <w:num w:numId="34">
    <w:abstractNumId w:val="20"/>
  </w:num>
  <w:num w:numId="35">
    <w:abstractNumId w:val="12"/>
  </w:num>
  <w:num w:numId="36">
    <w:abstractNumId w:val="14"/>
  </w:num>
  <w:num w:numId="37">
    <w:abstractNumId w:val="19"/>
  </w:num>
  <w:num w:numId="38">
    <w:abstractNumId w:val="18"/>
  </w:num>
  <w:num w:numId="39">
    <w:abstractNumId w:val="30"/>
  </w:num>
  <w:num w:numId="40">
    <w:abstractNumId w:val="7"/>
  </w:num>
  <w:num w:numId="41">
    <w:abstractNumId w:val="5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DE6"/>
    <w:rsid w:val="000012AD"/>
    <w:rsid w:val="00001306"/>
    <w:rsid w:val="00001388"/>
    <w:rsid w:val="000017D0"/>
    <w:rsid w:val="00001C77"/>
    <w:rsid w:val="00001F0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2FF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C91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17D09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B3A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1FC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54D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5AE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776"/>
    <w:rsid w:val="00062940"/>
    <w:rsid w:val="00062EB2"/>
    <w:rsid w:val="0006380F"/>
    <w:rsid w:val="0006392D"/>
    <w:rsid w:val="00063D04"/>
    <w:rsid w:val="0006465B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BA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D10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4A1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2F87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5FF7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69EF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74E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7AB"/>
    <w:rsid w:val="000E0A11"/>
    <w:rsid w:val="000E0AB7"/>
    <w:rsid w:val="000E0B02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30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547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2F44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CA3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1B5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6E5F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54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81"/>
    <w:rsid w:val="00125FC8"/>
    <w:rsid w:val="001262B3"/>
    <w:rsid w:val="00126363"/>
    <w:rsid w:val="001263CD"/>
    <w:rsid w:val="001264D0"/>
    <w:rsid w:val="00126529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04E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96D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9DD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60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A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954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918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17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C19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33F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5F33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BAD"/>
    <w:rsid w:val="001D1E32"/>
    <w:rsid w:val="001D210D"/>
    <w:rsid w:val="001D24C8"/>
    <w:rsid w:val="001D2844"/>
    <w:rsid w:val="001D2965"/>
    <w:rsid w:val="001D2AB1"/>
    <w:rsid w:val="001D2C14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6AA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F4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25"/>
    <w:rsid w:val="001F26D8"/>
    <w:rsid w:val="001F279F"/>
    <w:rsid w:val="001F2A7F"/>
    <w:rsid w:val="001F3338"/>
    <w:rsid w:val="001F34C6"/>
    <w:rsid w:val="001F382B"/>
    <w:rsid w:val="001F38B0"/>
    <w:rsid w:val="001F3AAC"/>
    <w:rsid w:val="001F3C40"/>
    <w:rsid w:val="001F3D07"/>
    <w:rsid w:val="001F3F30"/>
    <w:rsid w:val="001F3F73"/>
    <w:rsid w:val="001F4204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B59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8D"/>
    <w:rsid w:val="002064AA"/>
    <w:rsid w:val="00206588"/>
    <w:rsid w:val="0020680E"/>
    <w:rsid w:val="0020736C"/>
    <w:rsid w:val="00207915"/>
    <w:rsid w:val="00207A15"/>
    <w:rsid w:val="00207BAE"/>
    <w:rsid w:val="00207C80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941"/>
    <w:rsid w:val="00210B0E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0F9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D55"/>
    <w:rsid w:val="00220153"/>
    <w:rsid w:val="0022064E"/>
    <w:rsid w:val="00220687"/>
    <w:rsid w:val="00220770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1A4"/>
    <w:rsid w:val="002238D8"/>
    <w:rsid w:val="00223B2A"/>
    <w:rsid w:val="00223BDF"/>
    <w:rsid w:val="00224265"/>
    <w:rsid w:val="002243A6"/>
    <w:rsid w:val="00224549"/>
    <w:rsid w:val="00224672"/>
    <w:rsid w:val="002247E9"/>
    <w:rsid w:val="00224938"/>
    <w:rsid w:val="00224946"/>
    <w:rsid w:val="0022496E"/>
    <w:rsid w:val="00224B9C"/>
    <w:rsid w:val="002255B2"/>
    <w:rsid w:val="00225E49"/>
    <w:rsid w:val="0022600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0B4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9FE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5DC"/>
    <w:rsid w:val="002648E5"/>
    <w:rsid w:val="00264A5D"/>
    <w:rsid w:val="00264F1D"/>
    <w:rsid w:val="002651B0"/>
    <w:rsid w:val="0026521D"/>
    <w:rsid w:val="0026537A"/>
    <w:rsid w:val="0026560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BA8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3EB0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691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93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1C9"/>
    <w:rsid w:val="002C0391"/>
    <w:rsid w:val="002C03F9"/>
    <w:rsid w:val="002C06B8"/>
    <w:rsid w:val="002C0766"/>
    <w:rsid w:val="002C0EAB"/>
    <w:rsid w:val="002C11C6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A49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19F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DE1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2F7F2A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198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55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A2"/>
    <w:rsid w:val="00317608"/>
    <w:rsid w:val="00317C96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0EE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0A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9EE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57A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453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A5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CB4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675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0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412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52E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0E2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143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4F6D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7B6"/>
    <w:rsid w:val="003C2B01"/>
    <w:rsid w:val="003C2BB8"/>
    <w:rsid w:val="003C337F"/>
    <w:rsid w:val="003C369C"/>
    <w:rsid w:val="003C3718"/>
    <w:rsid w:val="003C3964"/>
    <w:rsid w:val="003C3B59"/>
    <w:rsid w:val="003C3FC0"/>
    <w:rsid w:val="003C3FC8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A7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01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384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ECB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29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0E8E"/>
    <w:rsid w:val="00421565"/>
    <w:rsid w:val="00421709"/>
    <w:rsid w:val="004218A4"/>
    <w:rsid w:val="00421947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1DD"/>
    <w:rsid w:val="00446279"/>
    <w:rsid w:val="00446450"/>
    <w:rsid w:val="004465C9"/>
    <w:rsid w:val="00446657"/>
    <w:rsid w:val="00446764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471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AE7"/>
    <w:rsid w:val="00456B24"/>
    <w:rsid w:val="00456C0D"/>
    <w:rsid w:val="00456CA5"/>
    <w:rsid w:val="00456CDB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644"/>
    <w:rsid w:val="004607CE"/>
    <w:rsid w:val="00460942"/>
    <w:rsid w:val="00461348"/>
    <w:rsid w:val="00461577"/>
    <w:rsid w:val="004617F7"/>
    <w:rsid w:val="00461A62"/>
    <w:rsid w:val="00461BF5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7E"/>
    <w:rsid w:val="00463486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097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A2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846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C08"/>
    <w:rsid w:val="00493E1D"/>
    <w:rsid w:val="00493EB8"/>
    <w:rsid w:val="00493F00"/>
    <w:rsid w:val="004940A2"/>
    <w:rsid w:val="004941FC"/>
    <w:rsid w:val="00494379"/>
    <w:rsid w:val="00494F5E"/>
    <w:rsid w:val="00495441"/>
    <w:rsid w:val="004956EE"/>
    <w:rsid w:val="004956F9"/>
    <w:rsid w:val="004957A5"/>
    <w:rsid w:val="0049587F"/>
    <w:rsid w:val="00495A72"/>
    <w:rsid w:val="00496096"/>
    <w:rsid w:val="00496C19"/>
    <w:rsid w:val="00496ECC"/>
    <w:rsid w:val="0049730F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96A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2E6D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559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729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6E0B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AEC"/>
    <w:rsid w:val="00522C98"/>
    <w:rsid w:val="00522CB3"/>
    <w:rsid w:val="0052302E"/>
    <w:rsid w:val="00523082"/>
    <w:rsid w:val="00523330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D1C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3B7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1F30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CF3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1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007"/>
    <w:rsid w:val="00576513"/>
    <w:rsid w:val="00576583"/>
    <w:rsid w:val="0057663C"/>
    <w:rsid w:val="005766BE"/>
    <w:rsid w:val="005768E7"/>
    <w:rsid w:val="005773E4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44C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851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7EF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19F"/>
    <w:rsid w:val="005B5490"/>
    <w:rsid w:val="005B5694"/>
    <w:rsid w:val="005B5A98"/>
    <w:rsid w:val="005B5D5F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AD2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5EA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167"/>
    <w:rsid w:val="005E763B"/>
    <w:rsid w:val="005E7C1C"/>
    <w:rsid w:val="005E7C58"/>
    <w:rsid w:val="005E7EBE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32D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58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614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072"/>
    <w:rsid w:val="006241F6"/>
    <w:rsid w:val="00624E2B"/>
    <w:rsid w:val="00624FDA"/>
    <w:rsid w:val="006252A6"/>
    <w:rsid w:val="0062555E"/>
    <w:rsid w:val="006257F5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587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830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5F9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37E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2D0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13"/>
    <w:rsid w:val="00696DF0"/>
    <w:rsid w:val="00696E7C"/>
    <w:rsid w:val="006970BF"/>
    <w:rsid w:val="00697461"/>
    <w:rsid w:val="00697585"/>
    <w:rsid w:val="006A030F"/>
    <w:rsid w:val="006A0321"/>
    <w:rsid w:val="006A070D"/>
    <w:rsid w:val="006A08AE"/>
    <w:rsid w:val="006A0AC9"/>
    <w:rsid w:val="006A0BC8"/>
    <w:rsid w:val="006A0CBB"/>
    <w:rsid w:val="006A0E41"/>
    <w:rsid w:val="006A1345"/>
    <w:rsid w:val="006A17CC"/>
    <w:rsid w:val="006A19A8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2D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A9E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2F0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42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B5B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B76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44B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05A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5A83"/>
    <w:rsid w:val="00756A67"/>
    <w:rsid w:val="00756E97"/>
    <w:rsid w:val="007577EC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7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08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6DD6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120"/>
    <w:rsid w:val="007C1300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A86"/>
    <w:rsid w:val="007D1B06"/>
    <w:rsid w:val="007D1E1F"/>
    <w:rsid w:val="007D2212"/>
    <w:rsid w:val="007D22B9"/>
    <w:rsid w:val="007D23CE"/>
    <w:rsid w:val="007D2D16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58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A6F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9D8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2F7C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2C4"/>
    <w:rsid w:val="0082034B"/>
    <w:rsid w:val="00820428"/>
    <w:rsid w:val="0082095C"/>
    <w:rsid w:val="00820A71"/>
    <w:rsid w:val="00820B08"/>
    <w:rsid w:val="008214B3"/>
    <w:rsid w:val="008215F4"/>
    <w:rsid w:val="008216BF"/>
    <w:rsid w:val="00821C95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2E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096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57D32"/>
    <w:rsid w:val="008602C1"/>
    <w:rsid w:val="008602D1"/>
    <w:rsid w:val="00860398"/>
    <w:rsid w:val="00860514"/>
    <w:rsid w:val="00860541"/>
    <w:rsid w:val="00860978"/>
    <w:rsid w:val="00860DA2"/>
    <w:rsid w:val="00860F59"/>
    <w:rsid w:val="00861109"/>
    <w:rsid w:val="0086151A"/>
    <w:rsid w:val="0086177F"/>
    <w:rsid w:val="0086183E"/>
    <w:rsid w:val="00861870"/>
    <w:rsid w:val="00861AD3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4F71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D8E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B5C"/>
    <w:rsid w:val="00881DDE"/>
    <w:rsid w:val="00881E6B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62D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1EA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519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53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7E4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640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0F82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2BF4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410"/>
    <w:rsid w:val="008E75FD"/>
    <w:rsid w:val="008E7A89"/>
    <w:rsid w:val="008E7AD8"/>
    <w:rsid w:val="008E7CC6"/>
    <w:rsid w:val="008E7DC9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00A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2F18"/>
    <w:rsid w:val="0090304C"/>
    <w:rsid w:val="00903098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14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202"/>
    <w:rsid w:val="009113FD"/>
    <w:rsid w:val="0091155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C5C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8F"/>
    <w:rsid w:val="009308E5"/>
    <w:rsid w:val="00930AD9"/>
    <w:rsid w:val="00930DF9"/>
    <w:rsid w:val="009316B1"/>
    <w:rsid w:val="009316B9"/>
    <w:rsid w:val="0093193A"/>
    <w:rsid w:val="00931AF4"/>
    <w:rsid w:val="00931DAB"/>
    <w:rsid w:val="00931E01"/>
    <w:rsid w:val="00931E68"/>
    <w:rsid w:val="00931E8D"/>
    <w:rsid w:val="009321B7"/>
    <w:rsid w:val="0093250B"/>
    <w:rsid w:val="00932705"/>
    <w:rsid w:val="0093289C"/>
    <w:rsid w:val="00932919"/>
    <w:rsid w:val="009329C6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72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3D4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636"/>
    <w:rsid w:val="00980B48"/>
    <w:rsid w:val="00980F1B"/>
    <w:rsid w:val="00980FFC"/>
    <w:rsid w:val="00981125"/>
    <w:rsid w:val="009813C8"/>
    <w:rsid w:val="009815E3"/>
    <w:rsid w:val="00981886"/>
    <w:rsid w:val="009818C6"/>
    <w:rsid w:val="00981EF6"/>
    <w:rsid w:val="00981F1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5C8C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C06"/>
    <w:rsid w:val="00990DC5"/>
    <w:rsid w:val="00990EA5"/>
    <w:rsid w:val="009912D7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35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A7E6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DFD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940"/>
    <w:rsid w:val="009C1BD1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8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08E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31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06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98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709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5C6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2FB9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4FA"/>
    <w:rsid w:val="00A437C3"/>
    <w:rsid w:val="00A43AE8"/>
    <w:rsid w:val="00A440BC"/>
    <w:rsid w:val="00A44291"/>
    <w:rsid w:val="00A44449"/>
    <w:rsid w:val="00A4462A"/>
    <w:rsid w:val="00A446E4"/>
    <w:rsid w:val="00A44765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520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9BB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6F74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65F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8C0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992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AF1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C7F41"/>
    <w:rsid w:val="00AD00E9"/>
    <w:rsid w:val="00AD0389"/>
    <w:rsid w:val="00AD0642"/>
    <w:rsid w:val="00AD0ABC"/>
    <w:rsid w:val="00AD0B45"/>
    <w:rsid w:val="00AD0B67"/>
    <w:rsid w:val="00AD0BE1"/>
    <w:rsid w:val="00AD0CCB"/>
    <w:rsid w:val="00AD0DD7"/>
    <w:rsid w:val="00AD11C5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17C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2E"/>
    <w:rsid w:val="00AF202F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9B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C4B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123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C86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4FB2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25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2EC9"/>
    <w:rsid w:val="00B63159"/>
    <w:rsid w:val="00B63223"/>
    <w:rsid w:val="00B637B4"/>
    <w:rsid w:val="00B63D23"/>
    <w:rsid w:val="00B63DD5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2F40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0FAB"/>
    <w:rsid w:val="00B815B2"/>
    <w:rsid w:val="00B815FF"/>
    <w:rsid w:val="00B818F0"/>
    <w:rsid w:val="00B819A6"/>
    <w:rsid w:val="00B81ADB"/>
    <w:rsid w:val="00B81C09"/>
    <w:rsid w:val="00B81D36"/>
    <w:rsid w:val="00B81E06"/>
    <w:rsid w:val="00B81E4A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4E24"/>
    <w:rsid w:val="00B855B3"/>
    <w:rsid w:val="00B857C2"/>
    <w:rsid w:val="00B85C8A"/>
    <w:rsid w:val="00B86012"/>
    <w:rsid w:val="00B86187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9F1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7E4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B7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1F7C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B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A1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A8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BA1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C19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182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196"/>
    <w:rsid w:val="00C63344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7C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EAB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84A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7DE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A41"/>
    <w:rsid w:val="00CB0B49"/>
    <w:rsid w:val="00CB0BA7"/>
    <w:rsid w:val="00CB0D04"/>
    <w:rsid w:val="00CB0D28"/>
    <w:rsid w:val="00CB0DAC"/>
    <w:rsid w:val="00CB0F6A"/>
    <w:rsid w:val="00CB0FF2"/>
    <w:rsid w:val="00CB1EC9"/>
    <w:rsid w:val="00CB1F2F"/>
    <w:rsid w:val="00CB2147"/>
    <w:rsid w:val="00CB2177"/>
    <w:rsid w:val="00CB28C4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8A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D8E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5AE"/>
    <w:rsid w:val="00CC6B0C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263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4CC"/>
    <w:rsid w:val="00CD589D"/>
    <w:rsid w:val="00CD5B72"/>
    <w:rsid w:val="00CD636A"/>
    <w:rsid w:val="00CD63AE"/>
    <w:rsid w:val="00CD65F8"/>
    <w:rsid w:val="00CD6758"/>
    <w:rsid w:val="00CD67EB"/>
    <w:rsid w:val="00CD6B29"/>
    <w:rsid w:val="00CD6B48"/>
    <w:rsid w:val="00CD6C7B"/>
    <w:rsid w:val="00CD6FAF"/>
    <w:rsid w:val="00CD7047"/>
    <w:rsid w:val="00CD704D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19F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0CD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F9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A92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6F86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1"/>
    <w:rsid w:val="00D414FD"/>
    <w:rsid w:val="00D41805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5BD"/>
    <w:rsid w:val="00D45773"/>
    <w:rsid w:val="00D457D2"/>
    <w:rsid w:val="00D45965"/>
    <w:rsid w:val="00D45B8C"/>
    <w:rsid w:val="00D45ECB"/>
    <w:rsid w:val="00D45F43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C73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050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28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308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6B2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3A0"/>
    <w:rsid w:val="00DD37C0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ACB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42"/>
    <w:rsid w:val="00DF08B1"/>
    <w:rsid w:val="00DF1002"/>
    <w:rsid w:val="00DF10B1"/>
    <w:rsid w:val="00DF1364"/>
    <w:rsid w:val="00DF1649"/>
    <w:rsid w:val="00DF16F4"/>
    <w:rsid w:val="00DF196F"/>
    <w:rsid w:val="00DF1B58"/>
    <w:rsid w:val="00DF2036"/>
    <w:rsid w:val="00DF2411"/>
    <w:rsid w:val="00DF2750"/>
    <w:rsid w:val="00DF29A3"/>
    <w:rsid w:val="00DF2CF5"/>
    <w:rsid w:val="00DF301D"/>
    <w:rsid w:val="00DF373E"/>
    <w:rsid w:val="00DF37B0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A7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25E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543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26A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12E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A58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DBB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565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1F1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BE3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C0A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301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15E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DF1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04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46B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0EE2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37F3B"/>
    <w:rsid w:val="00F37F6D"/>
    <w:rsid w:val="00F4014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AD7"/>
    <w:rsid w:val="00F4412C"/>
    <w:rsid w:val="00F4423E"/>
    <w:rsid w:val="00F44628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7B8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6D1"/>
    <w:rsid w:val="00F70704"/>
    <w:rsid w:val="00F708B5"/>
    <w:rsid w:val="00F709F6"/>
    <w:rsid w:val="00F709F9"/>
    <w:rsid w:val="00F709FD"/>
    <w:rsid w:val="00F70A44"/>
    <w:rsid w:val="00F70A97"/>
    <w:rsid w:val="00F70AE8"/>
    <w:rsid w:val="00F71042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350"/>
    <w:rsid w:val="00F75C9E"/>
    <w:rsid w:val="00F76274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0ED1"/>
    <w:rsid w:val="00F812DF"/>
    <w:rsid w:val="00F814A4"/>
    <w:rsid w:val="00F814C8"/>
    <w:rsid w:val="00F81A0C"/>
    <w:rsid w:val="00F81C8E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AE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B52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1AD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67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2EB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BCD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66C97F1E"/>
  <w15:chartTrackingRefBased/>
  <w15:docId w15:val="{4695593A-6007-4434-A320-8088D0A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B5A4-154C-47D1-91C7-54C8C55D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30367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Крупнова Анастасия Владимировна</cp:lastModifiedBy>
  <cp:revision>2</cp:revision>
  <cp:lastPrinted>2017-12-04T12:30:00Z</cp:lastPrinted>
  <dcterms:created xsi:type="dcterms:W3CDTF">2019-10-31T07:46:00Z</dcterms:created>
  <dcterms:modified xsi:type="dcterms:W3CDTF">2019-10-31T07:46:00Z</dcterms:modified>
</cp:coreProperties>
</file>