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74" w:rsidRPr="00701956" w:rsidRDefault="00D817F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№ 15345-СШ/Д26и от 5 июня 2018 г.</w:t>
      </w:r>
      <w:bookmarkStart w:id="0" w:name="_GoBack"/>
      <w:bookmarkEnd w:id="0"/>
    </w:p>
    <w:p w:rsidR="000454AE" w:rsidRPr="00701956" w:rsidRDefault="000454AE">
      <w:pPr>
        <w:rPr>
          <w:bCs/>
          <w:sz w:val="26"/>
          <w:szCs w:val="26"/>
        </w:rPr>
      </w:pPr>
    </w:p>
    <w:p w:rsidR="000454AE" w:rsidRPr="00701956" w:rsidRDefault="000454AE" w:rsidP="000454AE">
      <w:pPr>
        <w:widowControl w:val="0"/>
        <w:jc w:val="center"/>
        <w:rPr>
          <w:sz w:val="26"/>
          <w:szCs w:val="26"/>
        </w:rPr>
      </w:pPr>
      <w:r w:rsidRPr="00701956">
        <w:rPr>
          <w:sz w:val="26"/>
          <w:szCs w:val="26"/>
        </w:rPr>
        <w:t>ЗАКЛЮЧЕНИЕ</w:t>
      </w:r>
    </w:p>
    <w:p w:rsidR="00FF6DD1" w:rsidRPr="00701956" w:rsidRDefault="000454AE" w:rsidP="00D359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1956">
        <w:rPr>
          <w:sz w:val="26"/>
          <w:szCs w:val="26"/>
        </w:rPr>
        <w:t xml:space="preserve">об оценке регулирующего воздействия на проект </w:t>
      </w:r>
      <w:r w:rsidR="00D359CE" w:rsidRPr="00D359CE">
        <w:rPr>
          <w:sz w:val="26"/>
          <w:szCs w:val="26"/>
        </w:rPr>
        <w:t>решения Совета Евразийской экономической комиссии</w:t>
      </w:r>
      <w:r w:rsidR="00D359CE">
        <w:rPr>
          <w:sz w:val="26"/>
          <w:szCs w:val="26"/>
        </w:rPr>
        <w:t xml:space="preserve"> </w:t>
      </w:r>
      <w:r w:rsidR="00D359CE" w:rsidRPr="00D359CE">
        <w:rPr>
          <w:sz w:val="26"/>
          <w:szCs w:val="26"/>
        </w:rPr>
        <w:t>«О</w:t>
      </w:r>
      <w:r w:rsidR="00D359CE">
        <w:rPr>
          <w:sz w:val="26"/>
          <w:szCs w:val="26"/>
        </w:rPr>
        <w:t xml:space="preserve"> </w:t>
      </w:r>
      <w:r w:rsidR="00D359CE" w:rsidRPr="00D359CE">
        <w:rPr>
          <w:sz w:val="26"/>
          <w:szCs w:val="26"/>
        </w:rPr>
        <w:t>техническом регламенте Евразийского экономического союза «О безопасности</w:t>
      </w:r>
      <w:r w:rsidR="00D359CE">
        <w:rPr>
          <w:sz w:val="26"/>
          <w:szCs w:val="26"/>
        </w:rPr>
        <w:t xml:space="preserve"> </w:t>
      </w:r>
      <w:proofErr w:type="spellStart"/>
      <w:r w:rsidR="00D359CE" w:rsidRPr="00D359CE">
        <w:rPr>
          <w:sz w:val="26"/>
          <w:szCs w:val="26"/>
        </w:rPr>
        <w:t>легкорельсового</w:t>
      </w:r>
      <w:proofErr w:type="spellEnd"/>
      <w:r w:rsidR="00D359CE" w:rsidRPr="00D359CE">
        <w:rPr>
          <w:sz w:val="26"/>
          <w:szCs w:val="26"/>
        </w:rPr>
        <w:t xml:space="preserve"> транспорта, трамваев»</w:t>
      </w:r>
    </w:p>
    <w:p w:rsidR="000454AE" w:rsidRPr="00701956" w:rsidRDefault="000454AE" w:rsidP="000454A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454AE" w:rsidRPr="00701956" w:rsidRDefault="000454AE" w:rsidP="00051EE9">
      <w:pPr>
        <w:spacing w:line="360" w:lineRule="auto"/>
        <w:ind w:firstLine="709"/>
        <w:jc w:val="both"/>
        <w:rPr>
          <w:sz w:val="26"/>
          <w:szCs w:val="26"/>
        </w:rPr>
      </w:pPr>
      <w:r w:rsidRPr="00701956">
        <w:rPr>
          <w:sz w:val="26"/>
          <w:szCs w:val="26"/>
        </w:rPr>
        <w:t xml:space="preserve">Минэкономразвития России в соответствии с пунктом </w:t>
      </w:r>
      <w:r w:rsidR="00D359CE">
        <w:rPr>
          <w:sz w:val="26"/>
          <w:szCs w:val="26"/>
        </w:rPr>
        <w:t>43</w:t>
      </w:r>
      <w:r w:rsidRPr="00701956">
        <w:rPr>
          <w:sz w:val="26"/>
          <w:szCs w:val="26"/>
        </w:rPr>
        <w:t xml:space="preserve"> Правил проведения федеральными органами исполнительной </w:t>
      </w:r>
      <w:proofErr w:type="gramStart"/>
      <w:r w:rsidRPr="00701956">
        <w:rPr>
          <w:sz w:val="26"/>
          <w:szCs w:val="26"/>
        </w:rPr>
        <w:t>власти оценки регулирующего воздействия проектов нормативных правовых актов</w:t>
      </w:r>
      <w:proofErr w:type="gramEnd"/>
      <w:r w:rsidRPr="00701956">
        <w:rPr>
          <w:sz w:val="26"/>
          <w:szCs w:val="26"/>
        </w:rPr>
        <w:t xml:space="preserve"> и проектов решений Евразийской экономической </w:t>
      </w:r>
      <w:proofErr w:type="gramStart"/>
      <w:r w:rsidRPr="00701956">
        <w:rPr>
          <w:sz w:val="26"/>
          <w:szCs w:val="26"/>
        </w:rPr>
        <w:t xml:space="preserve">комиссии, утвержденных постановлением Правительства Российской Федерации </w:t>
      </w:r>
      <w:r w:rsidR="00406388">
        <w:rPr>
          <w:sz w:val="26"/>
          <w:szCs w:val="26"/>
        </w:rPr>
        <w:br/>
      </w:r>
      <w:r w:rsidRPr="00701956">
        <w:rPr>
          <w:sz w:val="26"/>
          <w:szCs w:val="26"/>
        </w:rPr>
        <w:t>от 17 декабря 2012 г. № 1318</w:t>
      </w:r>
      <w:r w:rsidR="00051EE9">
        <w:rPr>
          <w:sz w:val="26"/>
          <w:szCs w:val="26"/>
        </w:rPr>
        <w:t xml:space="preserve"> (далее – </w:t>
      </w:r>
      <w:r w:rsidR="00051EE9" w:rsidRPr="00D359CE">
        <w:rPr>
          <w:sz w:val="26"/>
          <w:szCs w:val="26"/>
        </w:rPr>
        <w:t>правил</w:t>
      </w:r>
      <w:r w:rsidR="00051EE9">
        <w:rPr>
          <w:sz w:val="26"/>
          <w:szCs w:val="26"/>
        </w:rPr>
        <w:t>а</w:t>
      </w:r>
      <w:r w:rsidR="00051EE9" w:rsidRPr="00D359CE">
        <w:rPr>
          <w:sz w:val="26"/>
          <w:szCs w:val="26"/>
        </w:rPr>
        <w:t xml:space="preserve"> проведения оценки регулирующего воздействия</w:t>
      </w:r>
      <w:r w:rsidR="00051EE9">
        <w:rPr>
          <w:sz w:val="26"/>
          <w:szCs w:val="26"/>
        </w:rPr>
        <w:t>)</w:t>
      </w:r>
      <w:r w:rsidRPr="00701956">
        <w:rPr>
          <w:sz w:val="26"/>
          <w:szCs w:val="26"/>
        </w:rPr>
        <w:t xml:space="preserve">, рассмотрело проект </w:t>
      </w:r>
      <w:r w:rsidR="00D359CE" w:rsidRPr="00D359CE">
        <w:rPr>
          <w:sz w:val="26"/>
          <w:szCs w:val="26"/>
        </w:rPr>
        <w:t xml:space="preserve">решения Совета Евразийской экономической комиссии «О техническом регламенте Евразийского экономического союза «О безопасности </w:t>
      </w:r>
      <w:proofErr w:type="spellStart"/>
      <w:r w:rsidR="00D359CE" w:rsidRPr="00D359CE">
        <w:rPr>
          <w:sz w:val="26"/>
          <w:szCs w:val="26"/>
        </w:rPr>
        <w:t>легкорельсового</w:t>
      </w:r>
      <w:proofErr w:type="spellEnd"/>
      <w:r w:rsidR="00D359CE" w:rsidRPr="00D359CE">
        <w:rPr>
          <w:sz w:val="26"/>
          <w:szCs w:val="26"/>
        </w:rPr>
        <w:t xml:space="preserve"> транспорта, трамваев»</w:t>
      </w:r>
      <w:r w:rsidR="00D359CE">
        <w:rPr>
          <w:sz w:val="26"/>
          <w:szCs w:val="26"/>
        </w:rPr>
        <w:t xml:space="preserve"> </w:t>
      </w:r>
      <w:r w:rsidRPr="00701956">
        <w:rPr>
          <w:sz w:val="26"/>
          <w:szCs w:val="26"/>
        </w:rPr>
        <w:t>(далее – проект акта</w:t>
      </w:r>
      <w:r w:rsidR="00034DD9">
        <w:rPr>
          <w:sz w:val="26"/>
          <w:szCs w:val="26"/>
        </w:rPr>
        <w:t>, проект технического регламента</w:t>
      </w:r>
      <w:r w:rsidRPr="00701956">
        <w:rPr>
          <w:sz w:val="26"/>
          <w:szCs w:val="26"/>
        </w:rPr>
        <w:t xml:space="preserve">), подготовленный и направленный для подготовки настоящего заключения </w:t>
      </w:r>
      <w:r w:rsidR="00B53969">
        <w:rPr>
          <w:sz w:val="26"/>
          <w:szCs w:val="26"/>
        </w:rPr>
        <w:t xml:space="preserve">Минтрансом </w:t>
      </w:r>
      <w:r w:rsidRPr="00701956">
        <w:rPr>
          <w:sz w:val="26"/>
          <w:szCs w:val="26"/>
        </w:rPr>
        <w:t>России (далее – разработчик), и сообщает следующее.</w:t>
      </w:r>
      <w:proofErr w:type="gramEnd"/>
    </w:p>
    <w:p w:rsidR="00701956" w:rsidRPr="00701956" w:rsidRDefault="000454AE" w:rsidP="000454A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01956">
        <w:rPr>
          <w:sz w:val="26"/>
          <w:szCs w:val="26"/>
        </w:rPr>
        <w:t xml:space="preserve">Проект акта направлен разработчиком для подготовки настоящего заключения впервые. </w:t>
      </w:r>
    </w:p>
    <w:p w:rsidR="00D359CE" w:rsidRDefault="00D359CE" w:rsidP="000454A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01956">
        <w:rPr>
          <w:sz w:val="26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701956">
        <w:rPr>
          <w:sz w:val="26"/>
          <w:szCs w:val="26"/>
          <w:lang w:val="en-US"/>
        </w:rPr>
        <w:t>regulation</w:t>
      </w:r>
      <w:r w:rsidRPr="00701956">
        <w:rPr>
          <w:sz w:val="26"/>
          <w:szCs w:val="26"/>
        </w:rPr>
        <w:t>.</w:t>
      </w:r>
      <w:proofErr w:type="spellStart"/>
      <w:r w:rsidRPr="00701956">
        <w:rPr>
          <w:sz w:val="26"/>
          <w:szCs w:val="26"/>
          <w:lang w:val="en-US"/>
        </w:rPr>
        <w:t>gov</w:t>
      </w:r>
      <w:proofErr w:type="spellEnd"/>
      <w:r w:rsidRPr="00701956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B53969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project</w:t>
      </w:r>
      <w:r w:rsidRPr="00B53969">
        <w:rPr>
          <w:sz w:val="26"/>
          <w:szCs w:val="26"/>
        </w:rPr>
        <w:t>#</w:t>
      </w:r>
      <w:proofErr w:type="spellStart"/>
      <w:r>
        <w:rPr>
          <w:sz w:val="26"/>
          <w:szCs w:val="26"/>
          <w:lang w:val="en-US"/>
        </w:rPr>
        <w:t>npa</w:t>
      </w:r>
      <w:proofErr w:type="spellEnd"/>
      <w:r w:rsidRPr="00B53969">
        <w:rPr>
          <w:sz w:val="26"/>
          <w:szCs w:val="26"/>
        </w:rPr>
        <w:t>=</w:t>
      </w:r>
      <w:r>
        <w:rPr>
          <w:sz w:val="26"/>
          <w:szCs w:val="26"/>
        </w:rPr>
        <w:t>64495</w:t>
      </w:r>
      <w:r w:rsidRPr="00701956">
        <w:rPr>
          <w:sz w:val="26"/>
          <w:szCs w:val="26"/>
        </w:rPr>
        <w:t>.</w:t>
      </w:r>
    </w:p>
    <w:p w:rsidR="000454AE" w:rsidRPr="00701956" w:rsidRDefault="000454AE" w:rsidP="000454A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01956">
        <w:rPr>
          <w:sz w:val="26"/>
          <w:szCs w:val="26"/>
        </w:rPr>
        <w:t>Разработчиком проведены публичные обсуждения проекта акта</w:t>
      </w:r>
      <w:r w:rsidR="00B53969">
        <w:rPr>
          <w:sz w:val="26"/>
          <w:szCs w:val="26"/>
        </w:rPr>
        <w:t xml:space="preserve"> </w:t>
      </w:r>
      <w:r w:rsidRPr="00701956">
        <w:rPr>
          <w:sz w:val="26"/>
          <w:szCs w:val="26"/>
        </w:rPr>
        <w:t>в срок</w:t>
      </w:r>
      <w:r w:rsidR="00D359CE">
        <w:rPr>
          <w:sz w:val="26"/>
          <w:szCs w:val="26"/>
        </w:rPr>
        <w:br/>
      </w:r>
      <w:r w:rsidRPr="00701956">
        <w:rPr>
          <w:sz w:val="26"/>
          <w:szCs w:val="26"/>
        </w:rPr>
        <w:t xml:space="preserve">с </w:t>
      </w:r>
      <w:r w:rsidR="00D359CE">
        <w:rPr>
          <w:sz w:val="26"/>
          <w:szCs w:val="26"/>
        </w:rPr>
        <w:t>24 апреля по 5 июля 2017</w:t>
      </w:r>
      <w:r w:rsidRPr="00701956">
        <w:rPr>
          <w:sz w:val="26"/>
          <w:szCs w:val="26"/>
        </w:rPr>
        <w:t xml:space="preserve"> года. </w:t>
      </w:r>
    </w:p>
    <w:p w:rsidR="00D359CE" w:rsidRDefault="00D359CE" w:rsidP="00D359C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Минэкономразвития России в соответствии с пунктом 44 </w:t>
      </w:r>
      <w:r w:rsidRPr="00D359CE">
        <w:rPr>
          <w:sz w:val="26"/>
          <w:szCs w:val="26"/>
        </w:rPr>
        <w:t>правил проведения оценки регулирующего воздействия были проведены публичные консультации</w:t>
      </w:r>
      <w:r>
        <w:rPr>
          <w:sz w:val="26"/>
          <w:szCs w:val="26"/>
        </w:rPr>
        <w:t xml:space="preserve"> </w:t>
      </w:r>
      <w:r w:rsidRPr="00D359CE">
        <w:rPr>
          <w:sz w:val="26"/>
          <w:szCs w:val="26"/>
        </w:rPr>
        <w:t>с представителями субъектов предпринимательской деятельности в срок</w:t>
      </w:r>
      <w:r>
        <w:rPr>
          <w:sz w:val="26"/>
          <w:szCs w:val="26"/>
        </w:rPr>
        <w:t xml:space="preserve"> с 8 мая по 24 мая 2018 года. В ходе публичных консультаций был получен отзыв от ОАО «Коломенский завод», </w:t>
      </w:r>
      <w:r w:rsidR="00051EE9">
        <w:rPr>
          <w:sz w:val="26"/>
          <w:szCs w:val="26"/>
        </w:rPr>
        <w:br/>
      </w:r>
      <w:r>
        <w:rPr>
          <w:sz w:val="26"/>
          <w:szCs w:val="26"/>
        </w:rPr>
        <w:t>не содержащий замечаний и предложений по проекту акта.</w:t>
      </w:r>
    </w:p>
    <w:p w:rsidR="000454AE" w:rsidRDefault="000454AE" w:rsidP="000454AE">
      <w:pPr>
        <w:spacing w:line="360" w:lineRule="auto"/>
        <w:ind w:firstLine="709"/>
        <w:jc w:val="both"/>
        <w:rPr>
          <w:sz w:val="26"/>
          <w:szCs w:val="26"/>
        </w:rPr>
      </w:pPr>
      <w:r w:rsidRPr="00701956">
        <w:rPr>
          <w:sz w:val="26"/>
          <w:szCs w:val="26"/>
        </w:rPr>
        <w:t>На основе проведенной оценки регулирующего воздействия проекта акта Минэкономразвития России сделан вывод о наличии достаточного обоснования решения проблемы предложенным способом регулирования.</w:t>
      </w:r>
    </w:p>
    <w:p w:rsidR="00D359CE" w:rsidRDefault="00D359CE" w:rsidP="000454A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 к проекту акта могут быть представлены следующие замечания.</w:t>
      </w:r>
    </w:p>
    <w:p w:rsidR="00D359CE" w:rsidRDefault="00034DD9" w:rsidP="00034DD9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034DD9">
        <w:rPr>
          <w:sz w:val="26"/>
          <w:szCs w:val="26"/>
        </w:rPr>
        <w:t xml:space="preserve">Пунктом 2 проекта технического регламента установлено, что технический регламент распространяется на выпускаемые в обращение на таможенной территории </w:t>
      </w:r>
      <w:r w:rsidRPr="00034DD9">
        <w:rPr>
          <w:sz w:val="26"/>
          <w:szCs w:val="26"/>
        </w:rPr>
        <w:lastRenderedPageBreak/>
        <w:t xml:space="preserve">Евразийского экономического союза и предназначенные для эксплуатации на маршрутах, оборудованных рельсовыми путями, </w:t>
      </w:r>
      <w:proofErr w:type="spellStart"/>
      <w:r w:rsidRPr="00034DD9">
        <w:rPr>
          <w:sz w:val="26"/>
          <w:szCs w:val="26"/>
        </w:rPr>
        <w:t>легкорельсовые</w:t>
      </w:r>
      <w:proofErr w:type="spellEnd"/>
      <w:r w:rsidRPr="00034DD9">
        <w:rPr>
          <w:sz w:val="26"/>
          <w:szCs w:val="26"/>
        </w:rPr>
        <w:t xml:space="preserve"> транспортные средства, трамваи </w:t>
      </w:r>
      <w:r w:rsidR="00197C1D">
        <w:rPr>
          <w:sz w:val="26"/>
          <w:szCs w:val="26"/>
        </w:rPr>
        <w:br/>
      </w:r>
      <w:r w:rsidRPr="00034DD9">
        <w:rPr>
          <w:sz w:val="26"/>
          <w:szCs w:val="26"/>
        </w:rPr>
        <w:t>и их компоненты по перечням согласно приложениям 1 - 3 к техническому регламенту.</w:t>
      </w:r>
      <w:proofErr w:type="gramEnd"/>
      <w:r w:rsidRPr="00034DD9">
        <w:rPr>
          <w:sz w:val="26"/>
          <w:szCs w:val="26"/>
        </w:rPr>
        <w:t xml:space="preserve"> При этом проектом технического регламента указывается, что действие технического регламента не распространяется</w:t>
      </w:r>
      <w:r>
        <w:rPr>
          <w:sz w:val="26"/>
          <w:szCs w:val="26"/>
        </w:rPr>
        <w:t xml:space="preserve"> </w:t>
      </w:r>
      <w:r w:rsidRPr="00034DD9">
        <w:rPr>
          <w:sz w:val="26"/>
          <w:szCs w:val="26"/>
        </w:rPr>
        <w:t xml:space="preserve">на </w:t>
      </w:r>
      <w:proofErr w:type="spellStart"/>
      <w:r w:rsidR="00797D5D">
        <w:rPr>
          <w:sz w:val="26"/>
          <w:szCs w:val="26"/>
        </w:rPr>
        <w:t>легкорельсовые</w:t>
      </w:r>
      <w:proofErr w:type="spellEnd"/>
      <w:r w:rsidR="00797D5D">
        <w:rPr>
          <w:sz w:val="26"/>
          <w:szCs w:val="26"/>
        </w:rPr>
        <w:t xml:space="preserve"> транспортные средства</w:t>
      </w:r>
      <w:r w:rsidRPr="00034DD9">
        <w:rPr>
          <w:sz w:val="26"/>
          <w:szCs w:val="26"/>
        </w:rPr>
        <w:t xml:space="preserve">, </w:t>
      </w:r>
      <w:proofErr w:type="gramStart"/>
      <w:r w:rsidRPr="00034DD9">
        <w:rPr>
          <w:sz w:val="26"/>
          <w:szCs w:val="26"/>
        </w:rPr>
        <w:t>с даты выпуска</w:t>
      </w:r>
      <w:proofErr w:type="gramEnd"/>
      <w:r w:rsidRPr="00034DD9">
        <w:rPr>
          <w:sz w:val="26"/>
          <w:szCs w:val="26"/>
        </w:rPr>
        <w:t xml:space="preserve"> которых прошло 30 и более лет.</w:t>
      </w:r>
    </w:p>
    <w:p w:rsidR="00034DD9" w:rsidRDefault="00034DD9" w:rsidP="00034DD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Принимая во внимание</w:t>
      </w:r>
      <w:r w:rsidR="002244CB">
        <w:rPr>
          <w:sz w:val="26"/>
          <w:szCs w:val="26"/>
        </w:rPr>
        <w:t xml:space="preserve"> то</w:t>
      </w:r>
      <w:r>
        <w:rPr>
          <w:sz w:val="26"/>
          <w:szCs w:val="26"/>
        </w:rPr>
        <w:t>, что проект технического регламента распространяется т</w:t>
      </w:r>
      <w:r w:rsidR="00197C1D">
        <w:rPr>
          <w:sz w:val="26"/>
          <w:szCs w:val="26"/>
        </w:rPr>
        <w:t>олько на выпускаемые в обращение</w:t>
      </w:r>
      <w:r>
        <w:rPr>
          <w:sz w:val="26"/>
          <w:szCs w:val="26"/>
        </w:rPr>
        <w:t xml:space="preserve"> транспортные средства и не распространяется </w:t>
      </w:r>
      <w:r w:rsidR="00197C1D">
        <w:rPr>
          <w:sz w:val="26"/>
          <w:szCs w:val="26"/>
        </w:rPr>
        <w:br/>
      </w:r>
      <w:r>
        <w:rPr>
          <w:sz w:val="26"/>
          <w:szCs w:val="26"/>
        </w:rPr>
        <w:t>на транспортные средства, находящиеся в эксплуатации, уточнение о нераспространени</w:t>
      </w:r>
      <w:r w:rsidR="00507FDF">
        <w:rPr>
          <w:sz w:val="26"/>
          <w:szCs w:val="26"/>
        </w:rPr>
        <w:t xml:space="preserve">и технического регламента на определенные транспортные средства может привести </w:t>
      </w:r>
      <w:r w:rsidR="00197C1D">
        <w:rPr>
          <w:sz w:val="26"/>
          <w:szCs w:val="26"/>
        </w:rPr>
        <w:br/>
      </w:r>
      <w:r w:rsidR="00507FDF">
        <w:rPr>
          <w:sz w:val="26"/>
          <w:szCs w:val="26"/>
        </w:rPr>
        <w:t xml:space="preserve">к двоякому толкованию объектов, на которые распространяется технический </w:t>
      </w:r>
      <w:r w:rsidR="00797D5D">
        <w:rPr>
          <w:sz w:val="26"/>
          <w:szCs w:val="26"/>
        </w:rPr>
        <w:t>регламент</w:t>
      </w:r>
      <w:r w:rsidR="00507FDF">
        <w:rPr>
          <w:sz w:val="26"/>
          <w:szCs w:val="26"/>
        </w:rPr>
        <w:t>.</w:t>
      </w:r>
    </w:p>
    <w:p w:rsidR="00797D5D" w:rsidRDefault="00821061" w:rsidP="00034DD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этой связи</w:t>
      </w:r>
      <w:r w:rsidR="00797D5D">
        <w:rPr>
          <w:sz w:val="26"/>
          <w:szCs w:val="26"/>
        </w:rPr>
        <w:t xml:space="preserve"> считаем целесообразным исключить норму о нераспространении проекта технического регламента на </w:t>
      </w:r>
      <w:proofErr w:type="spellStart"/>
      <w:r w:rsidR="00797D5D" w:rsidRPr="00797D5D">
        <w:rPr>
          <w:sz w:val="26"/>
          <w:szCs w:val="26"/>
        </w:rPr>
        <w:t>легкорельсовые</w:t>
      </w:r>
      <w:proofErr w:type="spellEnd"/>
      <w:r w:rsidR="00797D5D" w:rsidRPr="00797D5D">
        <w:rPr>
          <w:sz w:val="26"/>
          <w:szCs w:val="26"/>
        </w:rPr>
        <w:t xml:space="preserve"> транспортные средства, </w:t>
      </w:r>
      <w:proofErr w:type="gramStart"/>
      <w:r w:rsidR="00797D5D" w:rsidRPr="00797D5D">
        <w:rPr>
          <w:sz w:val="26"/>
          <w:szCs w:val="26"/>
        </w:rPr>
        <w:t>с даты выпуска</w:t>
      </w:r>
      <w:proofErr w:type="gramEnd"/>
      <w:r w:rsidR="00797D5D" w:rsidRPr="00797D5D">
        <w:rPr>
          <w:sz w:val="26"/>
          <w:szCs w:val="26"/>
        </w:rPr>
        <w:t xml:space="preserve"> которых прошло 30 и более лет</w:t>
      </w:r>
      <w:r w:rsidR="00797D5D">
        <w:rPr>
          <w:sz w:val="26"/>
          <w:szCs w:val="26"/>
        </w:rPr>
        <w:t>.</w:t>
      </w:r>
    </w:p>
    <w:p w:rsidR="00B36301" w:rsidRDefault="00B36301" w:rsidP="00E064FD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064FD">
        <w:rPr>
          <w:sz w:val="26"/>
          <w:szCs w:val="26"/>
        </w:rPr>
        <w:t>Пунктом 103 проекта технического регламента указывается, что в случае отсутствия аккредитованной испытательной лаборатории (центра) допускается проведение испытаний в целях сертификации испытательными лабораториями (центрами), аккредитованными только на техническую компетентность. Такие испытания проводятся под контролем представителей органа по сертификации. Объективность таких испытаний наряду с испытательной лабораторией (центром), аккредитованной только на техническую компетентность, обеспечивает орган по сертификации</w:t>
      </w:r>
      <w:r w:rsidR="00197C1D">
        <w:rPr>
          <w:sz w:val="26"/>
          <w:szCs w:val="26"/>
        </w:rPr>
        <w:t>,</w:t>
      </w:r>
      <w:r w:rsidR="00E064FD" w:rsidRPr="00E064FD">
        <w:rPr>
          <w:sz w:val="26"/>
          <w:szCs w:val="26"/>
        </w:rPr>
        <w:t xml:space="preserve"> поручивший указанной испытательной лаборатории (центру)</w:t>
      </w:r>
      <w:r w:rsidR="00E064FD">
        <w:rPr>
          <w:sz w:val="26"/>
          <w:szCs w:val="26"/>
        </w:rPr>
        <w:t xml:space="preserve"> </w:t>
      </w:r>
      <w:r w:rsidR="00E064FD" w:rsidRPr="00E064FD">
        <w:rPr>
          <w:sz w:val="26"/>
          <w:szCs w:val="26"/>
        </w:rPr>
        <w:t>их проведение</w:t>
      </w:r>
      <w:r w:rsidR="00E064FD">
        <w:rPr>
          <w:sz w:val="26"/>
          <w:szCs w:val="26"/>
        </w:rPr>
        <w:t>.</w:t>
      </w:r>
    </w:p>
    <w:p w:rsidR="00E064FD" w:rsidRDefault="00E064FD" w:rsidP="00E064F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Отмечаем, что</w:t>
      </w:r>
      <w:r w:rsidR="002244CB">
        <w:rPr>
          <w:sz w:val="26"/>
          <w:szCs w:val="26"/>
        </w:rPr>
        <w:t>,</w:t>
      </w:r>
      <w:r>
        <w:rPr>
          <w:sz w:val="26"/>
          <w:szCs w:val="26"/>
        </w:rPr>
        <w:t xml:space="preserve"> по информации Минэкономразвития России, в настоящее время испытательные</w:t>
      </w:r>
      <w:r w:rsidRPr="00E064FD">
        <w:rPr>
          <w:sz w:val="26"/>
          <w:szCs w:val="26"/>
        </w:rPr>
        <w:t xml:space="preserve"> лаборатор</w:t>
      </w:r>
      <w:r>
        <w:rPr>
          <w:sz w:val="26"/>
          <w:szCs w:val="26"/>
        </w:rPr>
        <w:t>ии</w:t>
      </w:r>
      <w:r w:rsidRPr="00E064FD">
        <w:rPr>
          <w:sz w:val="26"/>
          <w:szCs w:val="26"/>
        </w:rPr>
        <w:t xml:space="preserve"> (центр</w:t>
      </w:r>
      <w:r>
        <w:rPr>
          <w:sz w:val="26"/>
          <w:szCs w:val="26"/>
        </w:rPr>
        <w:t>ы</w:t>
      </w:r>
      <w:r w:rsidRPr="00E064FD">
        <w:rPr>
          <w:sz w:val="26"/>
          <w:szCs w:val="26"/>
        </w:rPr>
        <w:t>), аккредитованны</w:t>
      </w:r>
      <w:r>
        <w:rPr>
          <w:sz w:val="26"/>
          <w:szCs w:val="26"/>
        </w:rPr>
        <w:t>е</w:t>
      </w:r>
      <w:r w:rsidRPr="00E064FD">
        <w:rPr>
          <w:sz w:val="26"/>
          <w:szCs w:val="26"/>
        </w:rPr>
        <w:t xml:space="preserve"> только на техническую компетентность</w:t>
      </w:r>
      <w:r>
        <w:rPr>
          <w:sz w:val="26"/>
          <w:szCs w:val="26"/>
        </w:rPr>
        <w:t xml:space="preserve">, </w:t>
      </w:r>
      <w:r w:rsidR="00BE340F">
        <w:rPr>
          <w:sz w:val="26"/>
          <w:szCs w:val="26"/>
        </w:rPr>
        <w:t>в Российской Федерации отсутствуют.</w:t>
      </w:r>
    </w:p>
    <w:p w:rsidR="00BE340F" w:rsidRDefault="00FC10D1" w:rsidP="00E064F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в соответствии с частью 4 статьи 26 </w:t>
      </w:r>
      <w:r w:rsidR="00AF18DB">
        <w:rPr>
          <w:sz w:val="26"/>
          <w:szCs w:val="26"/>
        </w:rPr>
        <w:t>Федерального закона</w:t>
      </w:r>
      <w:r w:rsidR="00AF18DB">
        <w:rPr>
          <w:sz w:val="26"/>
          <w:szCs w:val="26"/>
        </w:rPr>
        <w:br/>
        <w:t>от 27 декабря 2002 г. № 184-ФЗ «</w:t>
      </w:r>
      <w:r w:rsidR="00AF18DB" w:rsidRPr="00AF18DB">
        <w:rPr>
          <w:sz w:val="26"/>
          <w:szCs w:val="26"/>
        </w:rPr>
        <w:t>О техническом регулировании</w:t>
      </w:r>
      <w:r w:rsidR="00AF18DB">
        <w:rPr>
          <w:sz w:val="26"/>
          <w:szCs w:val="26"/>
        </w:rPr>
        <w:t>» а</w:t>
      </w:r>
      <w:r w:rsidR="00AF18DB" w:rsidRPr="00AF18DB">
        <w:rPr>
          <w:sz w:val="26"/>
          <w:szCs w:val="26"/>
        </w:rPr>
        <w:t xml:space="preserve">ккредитованная испытательная лаборатория (центр) оформляет результаты исследований (испытаний) </w:t>
      </w:r>
      <w:r w:rsidR="00197C1D">
        <w:rPr>
          <w:sz w:val="26"/>
          <w:szCs w:val="26"/>
        </w:rPr>
        <w:br/>
      </w:r>
      <w:r w:rsidR="00AF18DB" w:rsidRPr="00AF18DB">
        <w:rPr>
          <w:sz w:val="26"/>
          <w:szCs w:val="26"/>
        </w:rPr>
        <w:t xml:space="preserve">и измерений соответствующими протоколами, на основании которых орган </w:t>
      </w:r>
      <w:r w:rsidR="00821061">
        <w:rPr>
          <w:sz w:val="26"/>
          <w:szCs w:val="26"/>
        </w:rPr>
        <w:br/>
      </w:r>
      <w:r w:rsidR="00AF18DB" w:rsidRPr="00AF18DB">
        <w:rPr>
          <w:sz w:val="26"/>
          <w:szCs w:val="26"/>
        </w:rPr>
        <w:t>по сертификации принимает решение о выдаче или об отказе в выдаче сертификата соответствия. Аккредитованная испытательная лаборатория (центр) обязана обеспечить достоверность результатов исследований (испытаний) и измерений.</w:t>
      </w:r>
    </w:p>
    <w:p w:rsidR="00AF18DB" w:rsidRDefault="00AF18DB" w:rsidP="00E064F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этой связи считаем проведение испытаний под контролем </w:t>
      </w:r>
      <w:r w:rsidRPr="00AF18DB">
        <w:rPr>
          <w:sz w:val="26"/>
          <w:szCs w:val="26"/>
        </w:rPr>
        <w:t xml:space="preserve">представителей органа по </w:t>
      </w:r>
      <w:proofErr w:type="gramStart"/>
      <w:r w:rsidRPr="00AF18DB">
        <w:rPr>
          <w:sz w:val="26"/>
          <w:szCs w:val="26"/>
        </w:rPr>
        <w:t>сертификации</w:t>
      </w:r>
      <w:proofErr w:type="gramEnd"/>
      <w:r>
        <w:rPr>
          <w:sz w:val="26"/>
          <w:szCs w:val="26"/>
        </w:rPr>
        <w:t xml:space="preserve"> противоречащим законодательству Российской Федерации </w:t>
      </w:r>
      <w:r w:rsidR="00821061">
        <w:rPr>
          <w:sz w:val="26"/>
          <w:szCs w:val="26"/>
        </w:rPr>
        <w:br/>
      </w:r>
      <w:r>
        <w:rPr>
          <w:sz w:val="26"/>
          <w:szCs w:val="26"/>
        </w:rPr>
        <w:t>о техническом регулировании. В этой связи считаем целесообразным исключить указанный пункт из проекта технического регламента.</w:t>
      </w:r>
    </w:p>
    <w:p w:rsidR="00AF18DB" w:rsidRDefault="00AF18DB" w:rsidP="00B33BEF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пункт</w:t>
      </w:r>
      <w:r w:rsidR="00B33BEF">
        <w:rPr>
          <w:sz w:val="26"/>
          <w:szCs w:val="26"/>
        </w:rPr>
        <w:t>ам</w:t>
      </w:r>
      <w:r>
        <w:rPr>
          <w:sz w:val="26"/>
          <w:szCs w:val="26"/>
        </w:rPr>
        <w:t xml:space="preserve"> 136 </w:t>
      </w:r>
      <w:r w:rsidR="00B33BEF">
        <w:rPr>
          <w:sz w:val="26"/>
          <w:szCs w:val="26"/>
        </w:rPr>
        <w:t xml:space="preserve">и 140 </w:t>
      </w:r>
      <w:r>
        <w:rPr>
          <w:sz w:val="26"/>
          <w:szCs w:val="26"/>
        </w:rPr>
        <w:t xml:space="preserve">проекта технического </w:t>
      </w:r>
      <w:r w:rsidR="00B33BEF">
        <w:rPr>
          <w:sz w:val="26"/>
          <w:szCs w:val="26"/>
        </w:rPr>
        <w:t>регламента срок действия сертификата соответствия и декларации о соответствии составляет не более 5 лет.</w:t>
      </w:r>
    </w:p>
    <w:p w:rsidR="00B33BEF" w:rsidRDefault="00B33BEF" w:rsidP="00B33BE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разработчиком не представлено обоснования, подтверждающего необходимость ограничения срока действия сертификата и декларации пятилетним сроком. Представляется, что вагоны </w:t>
      </w:r>
      <w:proofErr w:type="spellStart"/>
      <w:r>
        <w:rPr>
          <w:sz w:val="26"/>
          <w:szCs w:val="26"/>
        </w:rPr>
        <w:t>легкорельсового</w:t>
      </w:r>
      <w:proofErr w:type="spellEnd"/>
      <w:r>
        <w:rPr>
          <w:sz w:val="26"/>
          <w:szCs w:val="26"/>
        </w:rPr>
        <w:t xml:space="preserve"> транспорта не имеют значительного числа модификаций, в </w:t>
      </w:r>
      <w:proofErr w:type="gramStart"/>
      <w:r>
        <w:rPr>
          <w:sz w:val="26"/>
          <w:szCs w:val="26"/>
        </w:rPr>
        <w:t>связи</w:t>
      </w:r>
      <w:proofErr w:type="gramEnd"/>
      <w:r>
        <w:rPr>
          <w:sz w:val="26"/>
          <w:szCs w:val="26"/>
        </w:rPr>
        <w:t xml:space="preserve"> с чем необходимость проведения сертификации (декларирования) каждые 5 лет приведет к </w:t>
      </w:r>
      <w:r w:rsidR="00BC6B6B">
        <w:rPr>
          <w:sz w:val="26"/>
          <w:szCs w:val="26"/>
        </w:rPr>
        <w:t>необходимости предоставления заявителями идентичных результатов испытаний.</w:t>
      </w:r>
      <w:r>
        <w:rPr>
          <w:sz w:val="26"/>
          <w:szCs w:val="26"/>
        </w:rPr>
        <w:t xml:space="preserve"> </w:t>
      </w:r>
    </w:p>
    <w:p w:rsidR="00BC6B6B" w:rsidRDefault="00BC6B6B" w:rsidP="00BC6B6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отмечаем, что пунктом 134 проекта технического регламента п</w:t>
      </w:r>
      <w:r w:rsidRPr="00BC6B6B">
        <w:rPr>
          <w:sz w:val="26"/>
          <w:szCs w:val="26"/>
        </w:rPr>
        <w:t>ри проведении повторной сертификации</w:t>
      </w:r>
      <w:r>
        <w:rPr>
          <w:sz w:val="26"/>
          <w:szCs w:val="26"/>
        </w:rPr>
        <w:t xml:space="preserve"> </w:t>
      </w:r>
      <w:r w:rsidRPr="00BC6B6B">
        <w:rPr>
          <w:sz w:val="26"/>
          <w:szCs w:val="26"/>
        </w:rPr>
        <w:t>орган по сертификации может учитывать положительные результаты</w:t>
      </w:r>
      <w:r>
        <w:rPr>
          <w:sz w:val="26"/>
          <w:szCs w:val="26"/>
        </w:rPr>
        <w:t xml:space="preserve"> </w:t>
      </w:r>
      <w:r w:rsidRPr="00BC6B6B">
        <w:rPr>
          <w:sz w:val="26"/>
          <w:szCs w:val="26"/>
        </w:rPr>
        <w:t>предыдущей сертификации</w:t>
      </w:r>
      <w:r>
        <w:rPr>
          <w:sz w:val="26"/>
          <w:szCs w:val="26"/>
        </w:rPr>
        <w:t>. Таким образом, проектом технического регламента органу по сертификации предоставляется право, а не обязанность учитывать предыдущие результаты испытаний, что может привести к необходимости проведения новых испытаний каждые 5 лет.</w:t>
      </w:r>
    </w:p>
    <w:p w:rsidR="00BC6B6B" w:rsidRPr="00E064FD" w:rsidRDefault="00BC6B6B" w:rsidP="00BC6B6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этой связи считаем целесообразным разработчику проработать вопрос установления бессрочного срока действия сертификата с одновременным определением условий, при которых необходимо проведение сертификации</w:t>
      </w:r>
      <w:r w:rsidR="004D5C7C">
        <w:rPr>
          <w:sz w:val="26"/>
          <w:szCs w:val="26"/>
        </w:rPr>
        <w:t xml:space="preserve"> в части произведенных изменений.</w:t>
      </w:r>
    </w:p>
    <w:p w:rsidR="000454AE" w:rsidRPr="00701956" w:rsidRDefault="00AE0E23" w:rsidP="000454AE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итогам оценки регулирующего воздействия</w:t>
      </w:r>
      <w:r w:rsidR="000454AE" w:rsidRPr="00701956">
        <w:rPr>
          <w:sz w:val="26"/>
          <w:szCs w:val="26"/>
        </w:rPr>
        <w:t xml:space="preserve"> сделан вывод </w:t>
      </w:r>
      <w:r w:rsidR="001E4D4A">
        <w:rPr>
          <w:sz w:val="26"/>
          <w:szCs w:val="26"/>
        </w:rPr>
        <w:t>о наличии</w:t>
      </w:r>
      <w:r w:rsidR="000454AE" w:rsidRPr="00701956">
        <w:rPr>
          <w:sz w:val="26"/>
          <w:szCs w:val="26"/>
        </w:rPr>
        <w:t xml:space="preserve"> в проекте акта положений, вводящих избыточные обязанности, запреты и ограничения для физических и юридических лиц</w:t>
      </w:r>
      <w:r>
        <w:rPr>
          <w:sz w:val="26"/>
          <w:szCs w:val="26"/>
        </w:rPr>
        <w:t xml:space="preserve"> </w:t>
      </w:r>
      <w:r w:rsidR="000454AE" w:rsidRPr="00701956">
        <w:rPr>
          <w:sz w:val="26"/>
          <w:szCs w:val="26"/>
        </w:rPr>
        <w:t>в сфере предпринимательской и иной экономической деятельности или способствующих их введению, а также положений, приводящих</w:t>
      </w:r>
      <w:r w:rsidR="002244CB">
        <w:rPr>
          <w:sz w:val="26"/>
          <w:szCs w:val="26"/>
        </w:rPr>
        <w:br/>
      </w:r>
      <w:r w:rsidR="000454AE" w:rsidRPr="00701956">
        <w:rPr>
          <w:sz w:val="26"/>
          <w:szCs w:val="26"/>
        </w:rPr>
        <w:t>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</w:t>
      </w:r>
      <w:proofErr w:type="gramEnd"/>
      <w:r w:rsidR="000454AE" w:rsidRPr="00701956">
        <w:rPr>
          <w:sz w:val="26"/>
          <w:szCs w:val="26"/>
        </w:rPr>
        <w:t xml:space="preserve"> системы Российской Федерации.</w:t>
      </w:r>
    </w:p>
    <w:p w:rsidR="000454AE" w:rsidRPr="00701956" w:rsidRDefault="000454AE" w:rsidP="000454A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</w:p>
    <w:sectPr w:rsidR="000454AE" w:rsidRPr="00701956" w:rsidSect="00370E65">
      <w:headerReference w:type="even" r:id="rId9"/>
      <w:headerReference w:type="default" r:id="rId10"/>
      <w:headerReference w:type="first" r:id="rId11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9A" w:rsidRDefault="00280D9A">
      <w:r>
        <w:separator/>
      </w:r>
    </w:p>
  </w:endnote>
  <w:endnote w:type="continuationSeparator" w:id="0">
    <w:p w:rsidR="00280D9A" w:rsidRDefault="0028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9A" w:rsidRDefault="00280D9A">
      <w:r>
        <w:separator/>
      </w:r>
    </w:p>
  </w:footnote>
  <w:footnote w:type="continuationSeparator" w:id="0">
    <w:p w:rsidR="00280D9A" w:rsidRDefault="0028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BC33A4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B329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E" w:rsidRDefault="00BC33A4">
    <w:pPr>
      <w:pStyle w:val="ad"/>
      <w:jc w:val="center"/>
    </w:pPr>
    <w:r>
      <w:fldChar w:fldCharType="begin"/>
    </w:r>
    <w:r w:rsidR="00F75C9E">
      <w:instrText>PAGE   \* MERGEFORMAT</w:instrText>
    </w:r>
    <w:r>
      <w:fldChar w:fldCharType="separate"/>
    </w:r>
    <w:r w:rsidR="00EB0F11">
      <w:rPr>
        <w:noProof/>
      </w:rPr>
      <w:t>3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679E61C7"/>
    <w:multiLevelType w:val="hybridMultilevel"/>
    <w:tmpl w:val="8BEEC13E"/>
    <w:lvl w:ilvl="0" w:tplc="E152C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3"/>
  </w:num>
  <w:num w:numId="2">
    <w:abstractNumId w:val="6"/>
  </w:num>
  <w:num w:numId="3">
    <w:abstractNumId w:val="26"/>
  </w:num>
  <w:num w:numId="4">
    <w:abstractNumId w:val="12"/>
  </w:num>
  <w:num w:numId="5">
    <w:abstractNumId w:val="15"/>
  </w:num>
  <w:num w:numId="6">
    <w:abstractNumId w:val="7"/>
  </w:num>
  <w:num w:numId="7">
    <w:abstractNumId w:val="3"/>
  </w:num>
  <w:num w:numId="8">
    <w:abstractNumId w:val="20"/>
  </w:num>
  <w:num w:numId="9">
    <w:abstractNumId w:val="1"/>
  </w:num>
  <w:num w:numId="10">
    <w:abstractNumId w:val="16"/>
  </w:num>
  <w:num w:numId="11">
    <w:abstractNumId w:val="18"/>
  </w:num>
  <w:num w:numId="12">
    <w:abstractNumId w:val="21"/>
  </w:num>
  <w:num w:numId="13">
    <w:abstractNumId w:val="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30"/>
  </w:num>
  <w:num w:numId="19">
    <w:abstractNumId w:val="2"/>
  </w:num>
  <w:num w:numId="20">
    <w:abstractNumId w:val="17"/>
  </w:num>
  <w:num w:numId="21">
    <w:abstractNumId w:val="28"/>
  </w:num>
  <w:num w:numId="22">
    <w:abstractNumId w:val="19"/>
  </w:num>
  <w:num w:numId="23">
    <w:abstractNumId w:val="4"/>
  </w:num>
  <w:num w:numId="24">
    <w:abstractNumId w:val="17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7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0"/>
  </w:num>
  <w:num w:numId="27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0"/>
  </w:num>
  <w:num w:numId="32">
    <w:abstractNumId w:val="29"/>
  </w:num>
  <w:num w:numId="33">
    <w:abstractNumId w:val="22"/>
  </w:num>
  <w:num w:numId="34">
    <w:abstractNumId w:val="14"/>
  </w:num>
  <w:num w:numId="35">
    <w:abstractNumId w:val="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DD9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4AE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73CD"/>
    <w:rsid w:val="00047D9E"/>
    <w:rsid w:val="000504FA"/>
    <w:rsid w:val="000510A8"/>
    <w:rsid w:val="00051349"/>
    <w:rsid w:val="00051456"/>
    <w:rsid w:val="00051C2C"/>
    <w:rsid w:val="00051EE9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74B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237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749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97C1D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4A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4CB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C53"/>
    <w:rsid w:val="00280D9A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C41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97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E9C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3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C7C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07FDF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9BA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1FA3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956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D5D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5B0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061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07C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540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DE1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757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331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0E23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8DB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BEF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301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969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3A4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B6B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40F"/>
    <w:rsid w:val="00BE3A50"/>
    <w:rsid w:val="00BE4660"/>
    <w:rsid w:val="00BE4A5C"/>
    <w:rsid w:val="00BE5031"/>
    <w:rsid w:val="00BE5303"/>
    <w:rsid w:val="00BE56B2"/>
    <w:rsid w:val="00BE56F4"/>
    <w:rsid w:val="00BE5CCE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129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A82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85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9C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0F8F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7F9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4FD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BEC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11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A24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0D1"/>
    <w:rsid w:val="00FC14C5"/>
    <w:rsid w:val="00FC1704"/>
    <w:rsid w:val="00FC17B2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DD1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3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F682C-DB00-4086-BFFC-602D21CB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Юнусова Мария Александровна</cp:lastModifiedBy>
  <cp:revision>3</cp:revision>
  <cp:lastPrinted>2018-05-29T12:17:00Z</cp:lastPrinted>
  <dcterms:created xsi:type="dcterms:W3CDTF">2018-06-08T13:19:00Z</dcterms:created>
  <dcterms:modified xsi:type="dcterms:W3CDTF">2018-06-08T13:19:00Z</dcterms:modified>
</cp:coreProperties>
</file>