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Default="00CE58DB" w:rsidP="00D86D2E">
      <w:pPr>
        <w:widowControl w:val="0"/>
        <w:ind w:firstLine="748"/>
        <w:jc w:val="center"/>
        <w:rPr>
          <w:sz w:val="26"/>
          <w:szCs w:val="26"/>
        </w:rPr>
      </w:pPr>
    </w:p>
    <w:p w:rsidR="00CE58DB" w:rsidRPr="00F90D18" w:rsidRDefault="00CE58DB" w:rsidP="003E7650">
      <w:pPr>
        <w:widowControl w:val="0"/>
        <w:ind w:firstLine="748"/>
        <w:rPr>
          <w:sz w:val="16"/>
          <w:szCs w:val="16"/>
        </w:rPr>
      </w:pPr>
      <w:r>
        <w:rPr>
          <w:sz w:val="26"/>
          <w:szCs w:val="26"/>
        </w:rPr>
        <w:t xml:space="preserve">№ </w:t>
      </w:r>
      <w:bookmarkStart w:id="0" w:name="_GoBack"/>
      <w:r>
        <w:rPr>
          <w:sz w:val="26"/>
          <w:szCs w:val="26"/>
        </w:rPr>
        <w:t xml:space="preserve">2928-СШ/Д26и </w:t>
      </w:r>
      <w:bookmarkEnd w:id="0"/>
      <w:r>
        <w:rPr>
          <w:sz w:val="26"/>
          <w:szCs w:val="26"/>
        </w:rPr>
        <w:t xml:space="preserve">от 07.02.2017 г. </w:t>
      </w:r>
    </w:p>
    <w:p w:rsidR="00CE58DB" w:rsidRDefault="00CE58DB" w:rsidP="00D86D2E">
      <w:pPr>
        <w:widowControl w:val="0"/>
        <w:ind w:firstLine="748"/>
        <w:jc w:val="center"/>
        <w:rPr>
          <w:sz w:val="16"/>
          <w:szCs w:val="16"/>
        </w:rPr>
      </w:pPr>
    </w:p>
    <w:p w:rsidR="00CE58DB" w:rsidRDefault="00CE58DB" w:rsidP="00D86D2E">
      <w:pPr>
        <w:widowControl w:val="0"/>
        <w:ind w:firstLine="748"/>
        <w:jc w:val="center"/>
        <w:rPr>
          <w:sz w:val="16"/>
          <w:szCs w:val="16"/>
        </w:rPr>
      </w:pPr>
    </w:p>
    <w:p w:rsidR="00CE58DB" w:rsidRPr="00F90D18" w:rsidRDefault="00CE58DB" w:rsidP="00D86D2E">
      <w:pPr>
        <w:widowControl w:val="0"/>
        <w:ind w:firstLine="748"/>
        <w:jc w:val="center"/>
        <w:rPr>
          <w:sz w:val="16"/>
          <w:szCs w:val="16"/>
        </w:rPr>
      </w:pPr>
    </w:p>
    <w:p w:rsidR="00CE58DB" w:rsidRPr="00F90D18" w:rsidRDefault="00CE58DB" w:rsidP="00D86D2E">
      <w:pPr>
        <w:widowControl w:val="0"/>
        <w:jc w:val="center"/>
        <w:rPr>
          <w:sz w:val="16"/>
          <w:szCs w:val="16"/>
        </w:rPr>
      </w:pPr>
    </w:p>
    <w:p w:rsidR="00CE58DB" w:rsidRPr="00D42B00" w:rsidRDefault="00CE58DB" w:rsidP="00064105">
      <w:pPr>
        <w:widowControl w:val="0"/>
        <w:jc w:val="center"/>
        <w:rPr>
          <w:sz w:val="28"/>
          <w:szCs w:val="28"/>
        </w:rPr>
      </w:pPr>
      <w:r w:rsidRPr="00D42B00">
        <w:rPr>
          <w:sz w:val="28"/>
          <w:szCs w:val="28"/>
        </w:rPr>
        <w:t>ЗАКЛЮЧЕНИЕ</w:t>
      </w:r>
    </w:p>
    <w:p w:rsidR="00CE58DB" w:rsidRPr="00D42B00" w:rsidRDefault="00CE58DB" w:rsidP="00D86D2E">
      <w:pPr>
        <w:jc w:val="center"/>
        <w:outlineLvl w:val="0"/>
        <w:rPr>
          <w:sz w:val="28"/>
          <w:szCs w:val="28"/>
        </w:rPr>
      </w:pPr>
      <w:r w:rsidRPr="00D42B00">
        <w:rPr>
          <w:sz w:val="28"/>
          <w:szCs w:val="28"/>
        </w:rPr>
        <w:t xml:space="preserve">об оценке регулирующего воздействия на проект федерального закона </w:t>
      </w:r>
      <w:r w:rsidRPr="00D42B00">
        <w:rPr>
          <w:sz w:val="28"/>
          <w:szCs w:val="28"/>
        </w:rPr>
        <w:br/>
        <w:t>«О внесении изменений в Федеральный закон «О транспортно-экспедиционной деятельности» и Гражданский кодекс Российской Федерации»</w:t>
      </w:r>
    </w:p>
    <w:p w:rsidR="00CE58DB" w:rsidRPr="00D42B00" w:rsidRDefault="00CE58DB" w:rsidP="00D86D2E">
      <w:pPr>
        <w:jc w:val="center"/>
        <w:outlineLvl w:val="0"/>
        <w:rPr>
          <w:sz w:val="28"/>
          <w:szCs w:val="28"/>
        </w:rPr>
      </w:pPr>
    </w:p>
    <w:p w:rsidR="00CE58DB" w:rsidRPr="00D42B00" w:rsidRDefault="00CE58DB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</w:t>
      </w:r>
      <w:r w:rsidRPr="00D42B00">
        <w:rPr>
          <w:sz w:val="28"/>
          <w:szCs w:val="28"/>
        </w:rPr>
        <w:br/>
        <w:t xml:space="preserve">от 17 декабря 2012 г. № 1318 (далее – Правила проведения оценки регулирующего воздействия), рассмотрен проект федерального закона «О внесении изменений </w:t>
      </w:r>
      <w:r w:rsidRPr="00D42B00">
        <w:rPr>
          <w:sz w:val="28"/>
          <w:szCs w:val="28"/>
        </w:rPr>
        <w:br/>
        <w:t xml:space="preserve">в Федеральный закон «О транспортно-экспедиционной деятельности» </w:t>
      </w:r>
      <w:r w:rsidRPr="00D42B00">
        <w:rPr>
          <w:sz w:val="28"/>
          <w:szCs w:val="28"/>
        </w:rPr>
        <w:br/>
        <w:t>и Гражданский кодекс Российской Федерации» (далее соответственно – проект акта, Закон о ТЭД, ГК РФ), разработанный и направленный для подготовки настоящего заключения Минтрансом России (далее – разработчик), и сообщает следующее.</w:t>
      </w:r>
    </w:p>
    <w:p w:rsidR="00CE58DB" w:rsidRPr="00D42B00" w:rsidRDefault="00CE58DB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Проект акта направлен разработчиком для подготовки настоящего заключения впервые. </w:t>
      </w:r>
    </w:p>
    <w:p w:rsidR="00CE58DB" w:rsidRPr="00D42B00" w:rsidRDefault="00CE58DB" w:rsidP="00DB010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Согласно позиции разработчика, проект акта направлен на приведение нормативн</w:t>
      </w:r>
      <w:r>
        <w:rPr>
          <w:sz w:val="28"/>
          <w:szCs w:val="28"/>
        </w:rPr>
        <w:t>ого регулирования в соответствие</w:t>
      </w:r>
      <w:r w:rsidRPr="00D42B00">
        <w:rPr>
          <w:sz w:val="28"/>
          <w:szCs w:val="28"/>
        </w:rPr>
        <w:t xml:space="preserve"> с реалиями рынка транспортно-экспедиционных услуг, обобщение сведений об экспедиторах, уточнение терминологии транспортно-экспедиционной деятельности.</w:t>
      </w:r>
    </w:p>
    <w:p w:rsidR="00CE58DB" w:rsidRPr="00D42B00" w:rsidRDefault="00CE58DB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Разработчиком проведены публичные обсуждения уведомления о подготовке проекта акта в период с 16 октября 2015 года по 29 октября 2016 года, </w:t>
      </w:r>
      <w:r w:rsidRPr="00D42B00">
        <w:rPr>
          <w:sz w:val="28"/>
          <w:szCs w:val="28"/>
        </w:rPr>
        <w:br/>
        <w:t xml:space="preserve">а также доработанного проекта акта и сводного отчета в период </w:t>
      </w:r>
      <w:r w:rsidRPr="00D42B00">
        <w:rPr>
          <w:sz w:val="28"/>
          <w:szCs w:val="28"/>
        </w:rPr>
        <w:br/>
        <w:t>с 11 июля 2016 года по 8 августа 2016 года.</w:t>
      </w:r>
    </w:p>
    <w:p w:rsidR="00CE58DB" w:rsidRPr="00D42B00" w:rsidRDefault="00CE58DB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Pr="00D42B00">
        <w:rPr>
          <w:sz w:val="28"/>
          <w:szCs w:val="28"/>
        </w:rPr>
        <w:br/>
        <w:t xml:space="preserve">в информационно-телекоммуникационной сети «Интернет» по адресу: </w:t>
      </w:r>
      <w:r w:rsidRPr="00D42B00">
        <w:rPr>
          <w:sz w:val="28"/>
          <w:szCs w:val="28"/>
          <w:lang w:val="en-US"/>
        </w:rPr>
        <w:t>regulation</w:t>
      </w:r>
      <w:r w:rsidRPr="00D42B00">
        <w:rPr>
          <w:sz w:val="28"/>
          <w:szCs w:val="28"/>
        </w:rPr>
        <w:t>.</w:t>
      </w:r>
      <w:r w:rsidRPr="00D42B00">
        <w:rPr>
          <w:sz w:val="28"/>
          <w:szCs w:val="28"/>
          <w:lang w:val="en-US"/>
        </w:rPr>
        <w:t>gov</w:t>
      </w:r>
      <w:r w:rsidRPr="00D42B00">
        <w:rPr>
          <w:sz w:val="28"/>
          <w:szCs w:val="28"/>
        </w:rPr>
        <w:t>.</w:t>
      </w:r>
      <w:r w:rsidRPr="00D42B00">
        <w:rPr>
          <w:sz w:val="28"/>
          <w:szCs w:val="28"/>
          <w:lang w:val="en-US"/>
        </w:rPr>
        <w:t>ru</w:t>
      </w:r>
      <w:r w:rsidRPr="00D42B00">
        <w:rPr>
          <w:sz w:val="28"/>
          <w:szCs w:val="28"/>
        </w:rPr>
        <w:t xml:space="preserve"> (</w:t>
      </w:r>
      <w:r w:rsidRPr="00D42B00">
        <w:rPr>
          <w:sz w:val="28"/>
          <w:szCs w:val="28"/>
          <w:lang w:val="en-US"/>
        </w:rPr>
        <w:t>ID</w:t>
      </w:r>
      <w:r w:rsidRPr="00D42B00">
        <w:rPr>
          <w:sz w:val="28"/>
          <w:szCs w:val="28"/>
        </w:rPr>
        <w:t xml:space="preserve"> проекта: 02/04/10-15/00041045).</w:t>
      </w:r>
    </w:p>
    <w:p w:rsidR="00CE58DB" w:rsidRPr="00D42B00" w:rsidRDefault="00CE58DB" w:rsidP="002E1A1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0">
        <w:rPr>
          <w:rFonts w:ascii="Times New Roman" w:hAnsi="Times New Roman" w:cs="Times New Roman"/>
          <w:sz w:val="28"/>
          <w:szCs w:val="28"/>
        </w:rPr>
        <w:t>Необходимо отметить, что сводный отчет, направленный в составе прилагаемых к рассматриваемому проекту акта материалов, не содержит сведений, обязательность наличия которых установлена пунктом 15 (1) Правил.</w:t>
      </w:r>
    </w:p>
    <w:p w:rsidR="00CE58DB" w:rsidRPr="00D42B00" w:rsidRDefault="00CE58DB" w:rsidP="002E1A1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00">
        <w:rPr>
          <w:rFonts w:ascii="Times New Roman" w:hAnsi="Times New Roman" w:cs="Times New Roman"/>
          <w:sz w:val="28"/>
          <w:szCs w:val="28"/>
        </w:rPr>
        <w:t>Также разработчиком не заполнены разделы 9, 14 и 17 сводного отчета, несмотря на то, что в пояснительной записке разработчиком представлена оценка объема предоставления транспортно-экспедиторских услуг, а также потенциал такого рынка.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D42B00">
        <w:rPr>
          <w:sz w:val="28"/>
          <w:szCs w:val="28"/>
        </w:rPr>
        <w:t xml:space="preserve">Обращаем внимание, что указанный факт может служить основанием </w:t>
      </w:r>
      <w:r w:rsidRPr="00D42B00">
        <w:rPr>
          <w:sz w:val="28"/>
          <w:szCs w:val="28"/>
        </w:rPr>
        <w:br/>
        <w:t>для возврата проекта акта на доработку.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D42B00">
        <w:rPr>
          <w:sz w:val="28"/>
          <w:szCs w:val="28"/>
        </w:rPr>
        <w:t xml:space="preserve">Вместе с тем необходимо отметить следующее. 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D42B00">
        <w:rPr>
          <w:sz w:val="28"/>
          <w:szCs w:val="28"/>
        </w:rPr>
        <w:t xml:space="preserve">Одной из целей предлагаемого регулирования, заявленной разработчиком </w:t>
      </w:r>
      <w:r w:rsidRPr="00D42B00">
        <w:rPr>
          <w:sz w:val="28"/>
          <w:szCs w:val="28"/>
        </w:rPr>
        <w:br/>
        <w:t xml:space="preserve">в пункте 1.6 сводного отчета, является необходимость урегулирования вопросов проверок экспедиторов органами государственного транспортного надзора. </w:t>
      </w:r>
      <w:r w:rsidRPr="00D42B00">
        <w:rPr>
          <w:sz w:val="28"/>
          <w:szCs w:val="28"/>
        </w:rPr>
        <w:br/>
        <w:t xml:space="preserve">При этом в соответствии с пунктом 8.1 сводного отчета за Ространснадзором предполагается закрепить функцию по государственному контролю (надзору) </w:t>
      </w:r>
      <w:r w:rsidRPr="00D42B00">
        <w:rPr>
          <w:sz w:val="28"/>
          <w:szCs w:val="28"/>
        </w:rPr>
        <w:br/>
        <w:t xml:space="preserve">в сфере транспортно-экспедиторской деятельности. Также об этом заявлено </w:t>
      </w:r>
      <w:r w:rsidRPr="00D42B00">
        <w:rPr>
          <w:sz w:val="28"/>
          <w:szCs w:val="28"/>
        </w:rPr>
        <w:br/>
        <w:t>в пояснительной записке к проекту акта. Отмечаем, что в проекте акта отсутствуют положения, регламентирующие указанные вопросы контроля (надзора).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D42B00">
        <w:rPr>
          <w:sz w:val="28"/>
          <w:szCs w:val="28"/>
        </w:rPr>
        <w:t xml:space="preserve">В пункте 8.1 сводного отчета разработчиком указан перечень новых функций Минтранса России, в том числе утверждение форм свидетельства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>о профессиональной компетентности ответственного специалиста и программы подготовки для сдачи квалификационного экзамена. Минэкономразвития России обращает внимание на отсутствие в проекте акта положений, предусматривающих установление каких-либо квалификационных требований к соответствующим специалистам и программам их подготовки.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D42B00">
        <w:rPr>
          <w:sz w:val="28"/>
          <w:szCs w:val="28"/>
        </w:rPr>
        <w:t>Отдельно обращаем внимание на то, что разработчиком представлены комментарии, указанные в пунктах 10, 11 Сводки предложений по итогам размещения текста проекта о подготовке нормативного правового акта, однако сами замечания и предложения участников публичного обсуждения разработчиком не приведены.</w:t>
      </w:r>
    </w:p>
    <w:p w:rsidR="00CE58DB" w:rsidRPr="00D42B00" w:rsidRDefault="00CE58DB" w:rsidP="00021E32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соответствии с пунктом 28 Правил проведения оценки регулирующего воздействия с 29 декабря 2016 г. по 13 января 2017 г. Минэкономразвития России проведены публичные консультации по проекту акта. В ходе проведенных публичных консультаций была получена позиция ассоциации «Калининградская Ассоциация Агентских и Экспедиторских компаний», учтенная при подготовке настоящего заключения. </w:t>
      </w:r>
    </w:p>
    <w:p w:rsidR="00CE58DB" w:rsidRPr="00D42B00" w:rsidRDefault="00CE58DB" w:rsidP="00D62F4E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рамках подготовки заключения об оценке регулирующего воздействия </w:t>
      </w:r>
      <w:r w:rsidRPr="00D42B00">
        <w:rPr>
          <w:sz w:val="28"/>
          <w:szCs w:val="28"/>
        </w:rPr>
        <w:br/>
      </w:r>
      <w:r>
        <w:rPr>
          <w:sz w:val="28"/>
          <w:szCs w:val="28"/>
        </w:rPr>
        <w:t>30 января 2017</w:t>
      </w:r>
      <w:r w:rsidRPr="00D42B00">
        <w:rPr>
          <w:sz w:val="28"/>
          <w:szCs w:val="28"/>
        </w:rPr>
        <w:t xml:space="preserve"> г. Минэкономразвития России было проведено совещание </w:t>
      </w:r>
      <w:r w:rsidRPr="00D42B00">
        <w:rPr>
          <w:sz w:val="28"/>
          <w:szCs w:val="28"/>
        </w:rPr>
        <w:br/>
        <w:t>с представителями бизнес-сообщества по вопросам выявления рисков предлагаемого регулирования и проблем, с которыми сопряжена деятельность, связанная с предоставлением экспедиторских услуг. По результатам совещания были определены следующие проблемы регулирования.</w:t>
      </w:r>
    </w:p>
    <w:p w:rsidR="00CE58DB" w:rsidRPr="00D42B00" w:rsidRDefault="00CE58DB" w:rsidP="00D62F4E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1. В сфере транспортно-экспедиторской деятельности оказание услуг экспедитором может осуществляться как самостоятельно, так и с привлечением иных участников перевозочного процесса. </w:t>
      </w:r>
    </w:p>
    <w:p w:rsidR="00CE58DB" w:rsidRPr="00D42B00" w:rsidRDefault="00CE58DB" w:rsidP="00D62F4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При этом нормативное регулирование правоотношений экспедиторов </w:t>
      </w:r>
      <w:r w:rsidRPr="00D42B00">
        <w:rPr>
          <w:sz w:val="28"/>
          <w:szCs w:val="28"/>
        </w:rPr>
        <w:br/>
        <w:t xml:space="preserve">с транспортными организациями не обеспечено, несмотря на то, что транспортные компании являются основными исполнителями услуг, организатором выполнения которых является экспедитор. </w:t>
      </w:r>
    </w:p>
    <w:p w:rsidR="00CE58DB" w:rsidRPr="00D42B00" w:rsidRDefault="00CE58DB" w:rsidP="00D62F4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настоящее время в отраслевых законах</w:t>
      </w:r>
      <w:r w:rsidRPr="00D42B00">
        <w:rPr>
          <w:rStyle w:val="FootnoteReference"/>
          <w:sz w:val="28"/>
          <w:szCs w:val="28"/>
        </w:rPr>
        <w:footnoteReference w:id="1"/>
      </w:r>
      <w:r w:rsidRPr="00D42B00">
        <w:rPr>
          <w:sz w:val="28"/>
          <w:szCs w:val="28"/>
          <w:vertAlign w:val="superscript"/>
        </w:rPr>
        <w:t>,</w:t>
      </w:r>
      <w:r w:rsidRPr="00D42B00">
        <w:rPr>
          <w:rStyle w:val="FootnoteReference"/>
          <w:sz w:val="28"/>
          <w:szCs w:val="28"/>
        </w:rPr>
        <w:footnoteReference w:id="2"/>
      </w:r>
      <w:r w:rsidRPr="00D42B00">
        <w:rPr>
          <w:sz w:val="28"/>
          <w:szCs w:val="28"/>
        </w:rPr>
        <w:t xml:space="preserve"> такой участник правоотношений, как экспедитор, не определен. Таким образом, в случаях, когда экспедитор действует от своего имени, но в интересах клиента, остается недостаточно определенным круг его прав и корреспондирующих им обязанностей. </w:t>
      </w:r>
    </w:p>
    <w:p w:rsidR="00CE58DB" w:rsidRPr="00D42B00" w:rsidRDefault="00CE58DB" w:rsidP="00D62F4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2. В соответствии с подпунктом 2.1 пункта 1 статьи 164 Налогового кодекса Российской Федерации (далее – НК РФ) взимание НДС производится по налоговой ставке 0 процентов при реализации услуг по международной перевозке товаров. Положения данной нормы распространяются также на транспортно-экспедиционные услуги, оказываемые российскими организациями или индивидуальными предпринимателями на основании договора транспортной экспедиции </w:t>
      </w:r>
      <w:r w:rsidRPr="00D42B00">
        <w:rPr>
          <w:sz w:val="28"/>
          <w:szCs w:val="28"/>
        </w:rPr>
        <w:br/>
        <w:t>при организации международной перевозки.</w:t>
      </w:r>
    </w:p>
    <w:p w:rsidR="00CE58DB" w:rsidRPr="00D42B00" w:rsidRDefault="00CE58DB" w:rsidP="0003429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качестве обоснующих документов на получение возмещения </w:t>
      </w:r>
      <w:r w:rsidRPr="00D42B00">
        <w:rPr>
          <w:sz w:val="28"/>
          <w:szCs w:val="28"/>
        </w:rPr>
        <w:br/>
        <w:t>при налогообложении по налоговой ставке 0 процентов необходимо предоставить установленный перечень документов, в том числе копии товарно-транспортных, товаросопроводительных и (или) иных документов. Отмечаем, что в случае, когда экспедитор выполняет перевозку груза несамостоятельно, накладные не могут быть представлены, поскольку такие документы являются документами перевозчика. Таким образом, воспользоваться налоговой льготой в случае, когда экспедитор пользуется услугами субподрядчика, не представляется возможным.</w:t>
      </w:r>
    </w:p>
    <w:p w:rsidR="00CE58DB" w:rsidRPr="00D42B00" w:rsidRDefault="00CE58DB" w:rsidP="00D62F4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3. Согласно пункту 4 статьи 4 Закона о ТЭД при приеме груза экспедитор обязан проверить достоверность представленных клиентом необходимых документов, а также информации о свойствах грузов, об условиях </w:t>
      </w:r>
      <w:r>
        <w:rPr>
          <w:sz w:val="28"/>
          <w:szCs w:val="28"/>
        </w:rPr>
        <w:t>их</w:t>
      </w:r>
      <w:r w:rsidRPr="00D42B00">
        <w:rPr>
          <w:sz w:val="28"/>
          <w:szCs w:val="28"/>
        </w:rPr>
        <w:t xml:space="preserve"> перевозки </w:t>
      </w:r>
      <w:r w:rsidRPr="00D42B00">
        <w:rPr>
          <w:sz w:val="28"/>
          <w:szCs w:val="28"/>
        </w:rPr>
        <w:br/>
        <w:t>и иной информации, необходимой для исполнения экспедитором обязанностей, предусмотренных договором транспортной экспедиции, после чего экспедитор выдает клиенту экспедиторский документ</w:t>
      </w:r>
      <w:r w:rsidRPr="00D42B00">
        <w:rPr>
          <w:rStyle w:val="FootnoteReference"/>
          <w:sz w:val="28"/>
          <w:szCs w:val="28"/>
        </w:rPr>
        <w:footnoteReference w:id="3"/>
      </w:r>
      <w:r w:rsidRPr="00D42B00">
        <w:rPr>
          <w:sz w:val="28"/>
          <w:szCs w:val="28"/>
        </w:rPr>
        <w:t xml:space="preserve"> и обязан представить ему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доверенности.</w:t>
      </w:r>
    </w:p>
    <w:p w:rsidR="00CE58DB" w:rsidRPr="00D42B00" w:rsidRDefault="00CE58DB" w:rsidP="00A1749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Федеральным законом от 6 июля 2016 г. № 374-ФЗ «О внесении изменений </w:t>
      </w:r>
      <w:r w:rsidRPr="00D42B00">
        <w:rPr>
          <w:sz w:val="28"/>
          <w:szCs w:val="28"/>
        </w:rPr>
        <w:br/>
        <w:t>в федеральный закон «О противодействии терроризму» и отдельные законодательные акты Российской Федерации в части установления дополнительных противодействия терроризму и обеспечения общественной безопасности» Кодекс об административных правонарушениях дополнен статьей 11.14.3, пунктом 1 которого установлен новый состав правонарушения, а именно нарушение экспедитором обязанности обеспечения проверки достоверности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экспедиции.</w:t>
      </w:r>
    </w:p>
    <w:p w:rsidR="00CE58DB" w:rsidRPr="00D42B00" w:rsidRDefault="00CE58DB" w:rsidP="00D62F4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На практике при проведении проверок должностные лица контролирующих органов указывают на обязанность экспедитора проверять</w:t>
      </w:r>
      <w:r>
        <w:rPr>
          <w:sz w:val="28"/>
          <w:szCs w:val="28"/>
        </w:rPr>
        <w:t>,</w:t>
      </w:r>
      <w:r w:rsidRPr="00D42B00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</w:t>
      </w:r>
      <w:r w:rsidRPr="00D42B00">
        <w:rPr>
          <w:sz w:val="28"/>
          <w:szCs w:val="28"/>
        </w:rPr>
        <w:t xml:space="preserve">внутреннее вложение в грузовые места посредством вскрытия упаковки с досмотром вложенного содержимого. </w:t>
      </w:r>
    </w:p>
    <w:p w:rsidR="00CE58DB" w:rsidRPr="00D42B00" w:rsidRDefault="00CE58DB" w:rsidP="00D62F4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Таким образом, несогласованность норм двух федеральных законов приводит </w:t>
      </w:r>
      <w:r w:rsidRPr="00D42B00">
        <w:rPr>
          <w:sz w:val="28"/>
          <w:szCs w:val="28"/>
        </w:rPr>
        <w:br/>
        <w:t>к расширению дискреционных полномочий должностных лиц, что может способствовать приостановлению деятельности организаций.</w:t>
      </w:r>
    </w:p>
    <w:p w:rsidR="00CE58DB" w:rsidRPr="00D42B00" w:rsidRDefault="00CE58DB" w:rsidP="00120F3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Необходимо отметить, что большинство экспедиторов относится к числу субъектов малого и среднего предпринимательства, возложение на которых дополнительных функций контроля состава грузов сопряжено с дополнительными издержками, которые могут повлечь снижение уровня рентабельности организации до такого уровня, когда деятельность организации будет экономически нецелесообразна. </w:t>
      </w:r>
    </w:p>
    <w:p w:rsidR="00CE58DB" w:rsidRPr="00D42B00" w:rsidRDefault="00CE58DB" w:rsidP="00D62F4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этой связи представляется целесообразным внести в Закон о ТЭД уточняющие нормы о том, что порядок проверки достоверности документов </w:t>
      </w:r>
      <w:r w:rsidRPr="00D42B00">
        <w:rPr>
          <w:sz w:val="28"/>
          <w:szCs w:val="28"/>
        </w:rPr>
        <w:br/>
        <w:t xml:space="preserve">и информации о свойствах груза определяется экспедитором самостоятельно </w:t>
      </w:r>
      <w:r w:rsidRPr="00D42B00">
        <w:rPr>
          <w:sz w:val="28"/>
          <w:szCs w:val="28"/>
        </w:rPr>
        <w:br/>
        <w:t>и не предполагает досмотр внутреннего содержимого грузовых мест.</w:t>
      </w:r>
    </w:p>
    <w:p w:rsidR="00CE58DB" w:rsidRPr="00D42B00" w:rsidRDefault="00CE58DB" w:rsidP="00D62F4E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Минэкономразвития России рекомендует разработчику проработать проект акта с учетом выявленных проблем на рынке транспортно-экспедиторских услуг.</w:t>
      </w:r>
    </w:p>
    <w:p w:rsidR="00CE58DB" w:rsidRPr="00D42B00" w:rsidRDefault="00CE58DB" w:rsidP="00021E32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По проекту акта с учетом результатов публичных консультаций </w:t>
      </w:r>
      <w:r w:rsidRPr="00D42B00">
        <w:rPr>
          <w:sz w:val="28"/>
          <w:szCs w:val="28"/>
        </w:rPr>
        <w:br/>
        <w:t xml:space="preserve">и информации, представленной разработчиком в составе пояснительных документов и сводного отчета, а также итогов совещания в Минэкономразвития России </w:t>
      </w:r>
      <w:r w:rsidRPr="00D42B00">
        <w:rPr>
          <w:sz w:val="28"/>
          <w:szCs w:val="28"/>
        </w:rPr>
        <w:br/>
        <w:t xml:space="preserve">с представителями отрасли к проекту акта могут быть сделаны следующие замечания. </w:t>
      </w:r>
    </w:p>
    <w:p w:rsidR="00CE58DB" w:rsidRPr="00D42B00" w:rsidRDefault="00CE58DB" w:rsidP="0024700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1. Статьей 3 проекта акта предусматривается государственное регулирование транспортно-экспедиторской деятельности. Обращаем внимание, что разработчиком не представлены сведения о существующих проблемах на рынке экспедиторских услуг, решение которых может быть осуществлено только с помощью государственного регулирования, а также отсутствует иное обоснование необходимости государственного вмешательства.</w:t>
      </w:r>
    </w:p>
    <w:p w:rsidR="00CE58DB" w:rsidRPr="00D42B00" w:rsidRDefault="00CE58DB" w:rsidP="0024700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Кроме того, в том числе исходя из информации, представленной разработчиком в сводном отчете, международный опыт показывает успешное функционирование рыночного механизма в транспортно-экспедиторской деятельности в большинстве европейских стран без вмешательства государства. </w:t>
      </w:r>
      <w:r w:rsidRPr="00D42B00">
        <w:rPr>
          <w:sz w:val="28"/>
          <w:szCs w:val="28"/>
        </w:rPr>
        <w:br/>
        <w:t>Так, например, в скандинавских странах единые правила для экспедиторов разработаны экспедиторами, а их применение является добровольным</w:t>
      </w:r>
      <w:r w:rsidRPr="00D42B00">
        <w:rPr>
          <w:rStyle w:val="FootnoteReference"/>
          <w:sz w:val="28"/>
          <w:szCs w:val="28"/>
        </w:rPr>
        <w:footnoteReference w:id="4"/>
      </w:r>
      <w:r w:rsidRPr="00D42B00">
        <w:rPr>
          <w:sz w:val="28"/>
          <w:szCs w:val="28"/>
        </w:rPr>
        <w:t>.</w:t>
      </w:r>
    </w:p>
    <w:p w:rsidR="00CE58DB" w:rsidRPr="00D42B00" w:rsidRDefault="00CE58DB" w:rsidP="001B6FB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считаем необходимым рекомендовать разработчику дополнительно проанализировать ситуацию в отрасли и проработать вопрос целесообразности государственного регулирования транспортно-экспедиторской деятельности.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2. Проектом акта предусматривается ведение реестра экспедиторов. </w:t>
      </w:r>
      <w:r w:rsidRPr="00D42B00">
        <w:rPr>
          <w:sz w:val="28"/>
          <w:szCs w:val="28"/>
        </w:rPr>
        <w:br/>
        <w:t xml:space="preserve">По мнению разработчика, реестр экспедиторов позволит повысить информированность клиентов об экспедиторах. Однако разработчиком </w:t>
      </w:r>
      <w:r w:rsidRPr="00D42B00">
        <w:rPr>
          <w:sz w:val="28"/>
          <w:szCs w:val="28"/>
        </w:rPr>
        <w:br/>
        <w:t>не представлена информация о фактах, подтверждающих затруднения грузоотправителей и/или грузополучателей, связанные с недоступностью информации об услугах экспедиторов.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По информации, представленной разработчиком в сводном отчете, одной </w:t>
      </w:r>
      <w:r w:rsidRPr="00D42B00">
        <w:rPr>
          <w:sz w:val="28"/>
          <w:szCs w:val="28"/>
        </w:rPr>
        <w:br/>
        <w:t xml:space="preserve">из проблем, на решение которой направлено предлагаемое регулирование, является отсутствие сводной информации об экспедиторах, регионах их деятельности, перечне оказываемых услуг. 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соответствии со статьей 23 проекта акта в реестр экспедиторов включаются только сведения о наименовании организации, идентификационном номере налогоплательщика, данных ответственного специалиста. При этом данные </w:t>
      </w:r>
      <w:r w:rsidRPr="00D42B00">
        <w:rPr>
          <w:sz w:val="28"/>
          <w:szCs w:val="28"/>
        </w:rPr>
        <w:br/>
        <w:t>о регионах деятельности таких экспедиторов, перечень оказываемых ими услуг, сведения, подтверждающие положительные репутационные характеристики экспедиторов, в реестр не включаются.</w:t>
      </w:r>
    </w:p>
    <w:p w:rsidR="00CE58DB" w:rsidRPr="00D42B00" w:rsidRDefault="00CE58DB" w:rsidP="001D33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соответствии с проектом акта включение в реестр экспедиторов не является обязательным. В этой связи реестр не будет содержать полную информацию </w:t>
      </w:r>
      <w:r w:rsidRPr="00D42B00">
        <w:rPr>
          <w:sz w:val="28"/>
          <w:szCs w:val="28"/>
        </w:rPr>
        <w:br/>
        <w:t>по отрасли.</w:t>
      </w:r>
    </w:p>
    <w:p w:rsidR="00CE58DB" w:rsidRPr="00D42B00" w:rsidRDefault="00CE58DB" w:rsidP="00EB48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Более того, информацию о действующих транспортно-экспедиторских организациях и их контактах можно найти, например, в списке членов ассоциаций экспедиторских компаний, в том числе с учетом региона осуществления деятельности. Так, например, Российской Ассоциацией экспедиторских </w:t>
      </w:r>
      <w:r w:rsidRPr="00D42B00">
        <w:rPr>
          <w:sz w:val="28"/>
          <w:szCs w:val="28"/>
        </w:rPr>
        <w:br/>
        <w:t>и логистических организаций на официальном сайте размещены сведения о членах ассоциации. В качестве публичного инструмента в информационных целях может также рассматриваться  Реестр экспедиторских и логистических компаний, который также ведется Российской ассоциацией экспедиторских и логистических организаций</w:t>
      </w:r>
      <w:r w:rsidRPr="00D42B00">
        <w:rPr>
          <w:rStyle w:val="FootnoteReference"/>
          <w:sz w:val="28"/>
          <w:szCs w:val="28"/>
        </w:rPr>
        <w:footnoteReference w:id="5"/>
      </w:r>
      <w:r w:rsidRPr="00D42B00">
        <w:rPr>
          <w:sz w:val="28"/>
          <w:szCs w:val="28"/>
        </w:rPr>
        <w:t xml:space="preserve">. При этом следует отметить, что для включения организации в такой реестр достаточно предоставления заявления, анкеты и копии свидетельства </w:t>
      </w:r>
      <w:r w:rsidRPr="00D42B00">
        <w:rPr>
          <w:sz w:val="28"/>
          <w:szCs w:val="28"/>
        </w:rPr>
        <w:br/>
        <w:t xml:space="preserve">о государственной регистрации. </w:t>
      </w:r>
    </w:p>
    <w:p w:rsidR="00CE58DB" w:rsidRPr="00D42B00" w:rsidRDefault="00CE58DB" w:rsidP="001D33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Вместе с тем на основании сведений, необходимых для указания в заявлении на включение в реестр экспедиторов, установленных частью 1 статьи 19 проекта акта, Торгово-промышленная палата Российской Федерации (далее – регистрирующая организация, ТПП России) не может обеспечить гарантированного качества услуг, оказываемых экспедиторской организацией. 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связи с указанным отмечаем, что предлагаемое регулирование </w:t>
      </w:r>
      <w:r w:rsidRPr="00D42B00">
        <w:rPr>
          <w:sz w:val="28"/>
          <w:szCs w:val="28"/>
        </w:rPr>
        <w:br/>
        <w:t>не направлено на решение проблемы, указанной разработчиком.</w:t>
      </w:r>
    </w:p>
    <w:p w:rsidR="00CE58DB" w:rsidRPr="00D42B00" w:rsidRDefault="00CE58DB" w:rsidP="007D39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3. Согласно статье 4 проекта а</w:t>
      </w:r>
      <w:r>
        <w:rPr>
          <w:sz w:val="28"/>
          <w:szCs w:val="28"/>
        </w:rPr>
        <w:t>кта регистрирующей организацией</w:t>
      </w:r>
      <w:r w:rsidRPr="00D42B00">
        <w:rPr>
          <w:sz w:val="28"/>
          <w:szCs w:val="28"/>
        </w:rPr>
        <w:t xml:space="preserve"> является торгово-промышленная палата. Вместе с тем в Российской Федерации система ТПП России включает в себя Торгово-промышленную палату Российской Федерации </w:t>
      </w:r>
      <w:r>
        <w:rPr>
          <w:sz w:val="28"/>
          <w:szCs w:val="28"/>
        </w:rPr>
        <w:br/>
        <w:t>и</w:t>
      </w:r>
      <w:r w:rsidRPr="00D42B00">
        <w:rPr>
          <w:sz w:val="28"/>
          <w:szCs w:val="28"/>
        </w:rPr>
        <w:t xml:space="preserve"> 180 территориальных торгово-промышленных подразделений. </w:t>
      </w:r>
    </w:p>
    <w:p w:rsidR="00CE58DB" w:rsidRPr="00D42B00" w:rsidRDefault="00CE58DB" w:rsidP="007D39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Торгово-промышленные палаты на настоящий момент реализуют функцию </w:t>
      </w:r>
      <w:r w:rsidRPr="00D42B00">
        <w:rPr>
          <w:sz w:val="28"/>
          <w:szCs w:val="28"/>
        </w:rPr>
        <w:br/>
        <w:t xml:space="preserve">по ведению реестра организаций «Реестр надежных партнеров» (далее – Реестр партнеров). Реестр партнеров представляет собой единый информационный банк данных учета хозяйствующих субъектов, состоящий из территориальных блоков. Торгово-промышленная палата Российской Федерации ведет Реестр партнеров, осуществляющих свою деятельность на федеральном и межрегиональном уровнях. Территориальные торгово-промышленные палаты ведут Реестр партнеров, осуществляющих свою деятельность на соответствующем региональном уровне. Администратором единого общероссийского Реестра партнеров является </w:t>
      </w:r>
      <w:r w:rsidRPr="00D42B00">
        <w:rPr>
          <w:sz w:val="28"/>
          <w:szCs w:val="28"/>
        </w:rPr>
        <w:br/>
        <w:t>ТПП России, администратором Реестра партнеров соответствующего регионального уровня являются территориальные торгово-промышленные палаты.</w:t>
      </w:r>
    </w:p>
    <w:p w:rsidR="00CE58DB" w:rsidRPr="00D42B00" w:rsidRDefault="00CE58DB" w:rsidP="007D39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проекте акта не установлено, являются ли региональные </w:t>
      </w:r>
      <w:r w:rsidRPr="00D42B00">
        <w:rPr>
          <w:sz w:val="28"/>
          <w:szCs w:val="28"/>
        </w:rPr>
        <w:br/>
        <w:t xml:space="preserve">и муниципальные торгово-промышленные палаты регистрирующими организациями. При этом остается неясным, какое отделение торгово-промышленной палаты ведет сводный реестр экспедиторов, а также может ли экспедитор обращаться с заявлением на включение в реестр экспедиторов </w:t>
      </w:r>
      <w:r w:rsidRPr="00D42B00">
        <w:rPr>
          <w:sz w:val="28"/>
          <w:szCs w:val="28"/>
        </w:rPr>
        <w:br/>
        <w:t>в территориальные торгово-промышленные палаты. В этой связи считаем целесообразным доработать проект акта с учетом указанного выше замечания.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4. Абзацем 1 пункта 1 статьи 20 проекта акта предполагается проверка регистрирующей организацией достоверности содержащихся в заявлении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>и прилагаемых к нему в документах сведений.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Более того, согласно абзацу 2 пункта 1 статьи 20 проекта акта регистрирующая организация должна обратиться в федеральные органы исполнительной власти, органы исполнительной власти субъектов Российской Федерации, органы местного самоуправления для проверки достоверности сведений, указанных в заявлении. 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соответствии с пунктом 1 статьи 19 проекта акта заявление включает в себя наименование регистрирующей организации, наименование, идентификационный номер налогоплательщика, почтовый адр</w:t>
      </w:r>
      <w:r>
        <w:rPr>
          <w:sz w:val="28"/>
          <w:szCs w:val="28"/>
        </w:rPr>
        <w:t>ес, контактные телефоны, фамилию</w:t>
      </w:r>
      <w:r w:rsidRPr="00D42B00">
        <w:rPr>
          <w:sz w:val="28"/>
          <w:szCs w:val="28"/>
        </w:rPr>
        <w:t xml:space="preserve">, имя, отчество ответственного специалиста. 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Отмечаем, что достоверность таких сведений не требует запросов </w:t>
      </w:r>
      <w:r w:rsidRPr="00D42B00">
        <w:rPr>
          <w:sz w:val="28"/>
          <w:szCs w:val="28"/>
        </w:rPr>
        <w:br/>
        <w:t>в федеральные органы исполнительной власти, органы исполнительной власти субъектов Российской Федерации, органы местного самоуправления.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этой связи полагаем целесообразным исключение пункта 1 статьи 20 проекта акта.</w:t>
      </w:r>
    </w:p>
    <w:p w:rsidR="00CE58DB" w:rsidRPr="00D42B00" w:rsidRDefault="00CE58DB" w:rsidP="00BF57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5. Проектом акта ТПП России наделяется полномочиями </w:t>
      </w:r>
      <w:r w:rsidRPr="00D42B00">
        <w:rPr>
          <w:sz w:val="28"/>
          <w:szCs w:val="28"/>
        </w:rPr>
        <w:br/>
        <w:t xml:space="preserve">по ведению негосударственного реестра экспедиторов. В соответствии </w:t>
      </w:r>
      <w:r w:rsidRPr="00D42B00">
        <w:rPr>
          <w:sz w:val="28"/>
          <w:szCs w:val="28"/>
        </w:rPr>
        <w:br/>
        <w:t>с информацией, представленной разработчиком в сводном отчете, ТПП России была извещена о проведении публичных консультаций. Однако ее позиция разработчиком не представлена. Полагаем необходимым согласование проекта акта с ТПП России.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6. Необходимо отметить, что ТПП России ведет Реестр партнеров на платной основе. Так, за включение в Реестр партнеров предусмотрена плата, а также ежегодные взносы за ведение такого реестра. За включение заявителя в Реестр партнеров вступительный взнос составляет для малых предприятий – </w:t>
      </w:r>
      <w:r w:rsidRPr="00D42B00">
        <w:rPr>
          <w:sz w:val="28"/>
          <w:szCs w:val="28"/>
        </w:rPr>
        <w:br/>
        <w:t xml:space="preserve">6 тысяч рублей, для средних – 10 тысяч рублей. При этом ежегодный взнос </w:t>
      </w:r>
      <w:r w:rsidRPr="00D42B00">
        <w:rPr>
          <w:sz w:val="28"/>
          <w:szCs w:val="28"/>
        </w:rPr>
        <w:br/>
        <w:t>за ведение реестра партнеров составляет 50% от взноса за внесение в такой реестр</w:t>
      </w:r>
      <w:r w:rsidRPr="00D42B00">
        <w:rPr>
          <w:rStyle w:val="FootnoteReference"/>
          <w:sz w:val="28"/>
          <w:szCs w:val="28"/>
        </w:rPr>
        <w:footnoteReference w:id="6"/>
      </w:r>
      <w:r w:rsidRPr="00D42B00">
        <w:rPr>
          <w:sz w:val="28"/>
          <w:szCs w:val="28"/>
        </w:rPr>
        <w:t>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Более того, указанная услуга предоставляется только для членов ТПП России. Так, в Ленинградской области вступительный и членский взносы для организаций </w:t>
      </w:r>
      <w:r w:rsidRPr="00D42B00">
        <w:rPr>
          <w:sz w:val="28"/>
          <w:szCs w:val="28"/>
        </w:rPr>
        <w:br/>
        <w:t>с численностью работников выше 500 человек составляют 60 тысяч рублей</w:t>
      </w:r>
      <w:r w:rsidRPr="00D42B00">
        <w:rPr>
          <w:rStyle w:val="FootnoteReference"/>
          <w:sz w:val="28"/>
          <w:szCs w:val="28"/>
        </w:rPr>
        <w:footnoteReference w:id="7"/>
      </w:r>
      <w:r w:rsidRPr="00D42B00">
        <w:rPr>
          <w:sz w:val="28"/>
          <w:szCs w:val="28"/>
        </w:rPr>
        <w:t xml:space="preserve">. </w:t>
      </w:r>
      <w:r w:rsidRPr="00D42B00">
        <w:rPr>
          <w:sz w:val="28"/>
          <w:szCs w:val="28"/>
        </w:rPr>
        <w:br/>
        <w:t xml:space="preserve">В Орловской области для таких организаций предусмотрены взносы в размере </w:t>
      </w:r>
      <w:r w:rsidRPr="00D42B00">
        <w:rPr>
          <w:sz w:val="28"/>
          <w:szCs w:val="28"/>
        </w:rPr>
        <w:br/>
        <w:t>15 тысяч рублей</w:t>
      </w:r>
      <w:r w:rsidRPr="00D42B00">
        <w:rPr>
          <w:rStyle w:val="FootnoteReference"/>
          <w:sz w:val="28"/>
          <w:szCs w:val="28"/>
        </w:rPr>
        <w:footnoteReference w:id="8"/>
      </w:r>
      <w:r w:rsidRPr="00D42B00">
        <w:rPr>
          <w:sz w:val="28"/>
          <w:szCs w:val="28"/>
        </w:rPr>
        <w:t xml:space="preserve">. В Брянской области вступительный взнос для организаций </w:t>
      </w:r>
      <w:r w:rsidRPr="00D42B00">
        <w:rPr>
          <w:sz w:val="28"/>
          <w:szCs w:val="28"/>
        </w:rPr>
        <w:br/>
        <w:t>с численностью работников свыше 250 человек составляет 20 тысяч рублей в год</w:t>
      </w:r>
      <w:r w:rsidRPr="00D42B00">
        <w:rPr>
          <w:rStyle w:val="FootnoteReference"/>
          <w:sz w:val="28"/>
          <w:szCs w:val="28"/>
        </w:rPr>
        <w:footnoteReference w:id="9"/>
      </w:r>
      <w:r w:rsidRPr="00D42B00">
        <w:rPr>
          <w:sz w:val="28"/>
          <w:szCs w:val="28"/>
        </w:rPr>
        <w:t xml:space="preserve">. </w:t>
      </w:r>
    </w:p>
    <w:p w:rsidR="00CE58DB" w:rsidRPr="00D42B00" w:rsidRDefault="00CE58DB" w:rsidP="00616F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Таким образом, организации с численностью работников свыше 250 человек </w:t>
      </w:r>
      <w:r w:rsidRPr="00D42B00">
        <w:rPr>
          <w:sz w:val="28"/>
          <w:szCs w:val="28"/>
        </w:rPr>
        <w:br/>
        <w:t>в Брянской области необходимо уплатить взнос в первый год в размере 30 тысяч рублей</w:t>
      </w:r>
      <w:r w:rsidRPr="00D42B00">
        <w:rPr>
          <w:rStyle w:val="FootnoteReference"/>
          <w:sz w:val="28"/>
          <w:szCs w:val="28"/>
        </w:rPr>
        <w:footnoteReference w:id="10"/>
      </w:r>
      <w:r w:rsidRPr="00D42B00">
        <w:rPr>
          <w:sz w:val="28"/>
          <w:szCs w:val="28"/>
        </w:rPr>
        <w:t>, а также ежегодно уплачивать взносы в размере 25 тысяч рублей</w:t>
      </w:r>
      <w:r w:rsidRPr="00D42B00">
        <w:rPr>
          <w:rStyle w:val="FootnoteReference"/>
          <w:sz w:val="28"/>
          <w:szCs w:val="28"/>
        </w:rPr>
        <w:footnoteReference w:id="11"/>
      </w:r>
      <w:r w:rsidRPr="00D42B00">
        <w:rPr>
          <w:sz w:val="28"/>
          <w:szCs w:val="28"/>
        </w:rPr>
        <w:t>.</w:t>
      </w:r>
    </w:p>
    <w:p w:rsidR="00CE58DB" w:rsidRPr="00D42B00" w:rsidRDefault="00CE58DB" w:rsidP="00616F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Учитывая, что большинство участников экспедиторского рынка являются субъектами малого и среднего предпринимательства, а поддержка малого </w:t>
      </w:r>
      <w:r w:rsidRPr="00D42B00">
        <w:rPr>
          <w:sz w:val="28"/>
          <w:szCs w:val="28"/>
        </w:rPr>
        <w:br/>
        <w:t>и среднего предпринимательства является одним из приоритетных направлений государственной политики</w:t>
      </w:r>
      <w:r w:rsidRPr="00D42B00">
        <w:rPr>
          <w:rStyle w:val="FootnoteReference"/>
          <w:sz w:val="28"/>
          <w:szCs w:val="28"/>
        </w:rPr>
        <w:footnoteReference w:id="12"/>
      </w:r>
      <w:r w:rsidRPr="00D42B00">
        <w:rPr>
          <w:sz w:val="28"/>
          <w:szCs w:val="28"/>
        </w:rPr>
        <w:t xml:space="preserve">, указанные взносы повлекут дополнительные необоснованные затраты субъектов транспортно-экспедиторской деятельности. </w:t>
      </w:r>
    </w:p>
    <w:p w:rsidR="00CE58DB" w:rsidRPr="00D42B00" w:rsidRDefault="00CE58DB" w:rsidP="009C524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Согласно информации, представленной на официальном сайте ТПП России, проверка надежности организаций осуществляется в соответствии с установленной методикой перед тем, как она будет включена в Реестр партнеров. Проектом акта аналогичная проверка организаций не предусмотрена.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Учитывая, что Реестр партнеров и проектируемый реестр экспедиторов являются схожими, отмечаем нецелесообразность дублирования существующего реестра.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7. Проектом акта регистрирующая организация, являющаяся некоммерческой организацией, наделяется полномочиями по ведению реестра экспедиторов. </w:t>
      </w:r>
      <w:r w:rsidRPr="00D42B00">
        <w:rPr>
          <w:sz w:val="28"/>
          <w:szCs w:val="28"/>
        </w:rPr>
        <w:br/>
        <w:t xml:space="preserve">При этом действующим законодательством ответственность за неисполнение </w:t>
      </w:r>
      <w:r w:rsidRPr="00D42B00">
        <w:rPr>
          <w:sz w:val="28"/>
          <w:szCs w:val="28"/>
        </w:rPr>
        <w:br/>
        <w:t>или ненадлежащее исполнение таких обязательств у некоммерческой организации отсутствует, так как включение в реестр той или иной организации не является юридически значимым. Проектом акта также не предусмотрен порядок обжалования, например, отказа во включении организации в реестр.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Таким образом, предлагаемый проектом акта подход по делегированию государственных функций некоммерческой организации, по факту, </w:t>
      </w:r>
      <w:r w:rsidRPr="00D42B00">
        <w:rPr>
          <w:sz w:val="28"/>
          <w:szCs w:val="28"/>
        </w:rPr>
        <w:br/>
        <w:t xml:space="preserve">не является юридически значимым, проект акта не содержит механизма правовой защиты организаций, </w:t>
      </w:r>
      <w:r>
        <w:rPr>
          <w:sz w:val="28"/>
          <w:szCs w:val="28"/>
        </w:rPr>
        <w:t>получивших отказ во включении</w:t>
      </w:r>
      <w:r w:rsidRPr="00D42B00">
        <w:rPr>
          <w:sz w:val="28"/>
          <w:szCs w:val="28"/>
        </w:rPr>
        <w:t xml:space="preserve"> в реестр.</w:t>
      </w:r>
    </w:p>
    <w:p w:rsidR="00CE58DB" w:rsidRPr="00D42B00" w:rsidRDefault="00CE58DB" w:rsidP="00D87DD9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8. В пункте 1 статьи 19 проекта акта перечислены сведения, необходимые </w:t>
      </w:r>
      <w:r w:rsidRPr="00D42B00">
        <w:rPr>
          <w:sz w:val="28"/>
          <w:szCs w:val="28"/>
        </w:rPr>
        <w:br/>
        <w:t>для составления заявления о включении сведений в реестр экспедиторов, в том числе сведения об ответственном специалисте (заявителе) с представлением диплома о высшем профессиональном образовании.</w:t>
      </w:r>
    </w:p>
    <w:p w:rsidR="00CE58DB" w:rsidRPr="00D42B00" w:rsidRDefault="00CE58DB" w:rsidP="00D87DD9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Действующим законодательством не предусмотрен</w:t>
      </w:r>
      <w:r>
        <w:rPr>
          <w:sz w:val="28"/>
          <w:szCs w:val="28"/>
        </w:rPr>
        <w:t>о</w:t>
      </w:r>
      <w:r w:rsidRPr="00D42B00">
        <w:rPr>
          <w:sz w:val="28"/>
          <w:szCs w:val="28"/>
        </w:rPr>
        <w:t xml:space="preserve"> </w:t>
      </w:r>
      <w:r>
        <w:rPr>
          <w:sz w:val="28"/>
          <w:szCs w:val="28"/>
        </w:rPr>
        <w:t>тако</w:t>
      </w:r>
      <w:r w:rsidRPr="00D42B00">
        <w:rPr>
          <w:sz w:val="28"/>
          <w:szCs w:val="28"/>
        </w:rPr>
        <w:t xml:space="preserve">е </w:t>
      </w:r>
      <w:r>
        <w:rPr>
          <w:sz w:val="28"/>
          <w:szCs w:val="28"/>
        </w:rPr>
        <w:t>профессионально-квалификационное требование</w:t>
      </w:r>
      <w:r w:rsidRPr="00D42B00">
        <w:rPr>
          <w:sz w:val="28"/>
          <w:szCs w:val="28"/>
        </w:rPr>
        <w:t xml:space="preserve">, как наличие высшего профессионального образования. При этом целесообразность введения такого требования уполномоченным федеральным органом исполнительной власти не представлена. Кроме того, остается неясным, является ли достаточным требование о наличии профессионального образования по профессиональному стандарту «Специалист </w:t>
      </w:r>
      <w:r w:rsidRPr="00D42B00">
        <w:rPr>
          <w:sz w:val="28"/>
          <w:szCs w:val="28"/>
        </w:rPr>
        <w:br/>
        <w:t>по логистике на транспорте»</w:t>
      </w:r>
      <w:r w:rsidRPr="00D42B00">
        <w:rPr>
          <w:rStyle w:val="FootnoteReference"/>
          <w:sz w:val="28"/>
          <w:szCs w:val="28"/>
        </w:rPr>
        <w:footnoteReference w:id="13"/>
      </w:r>
      <w:r w:rsidRPr="00D42B00">
        <w:rPr>
          <w:sz w:val="28"/>
          <w:szCs w:val="28"/>
        </w:rPr>
        <w:t xml:space="preserve"> для экспедиторов.</w:t>
      </w:r>
    </w:p>
    <w:p w:rsidR="00CE58DB" w:rsidRPr="00D42B00" w:rsidRDefault="00CE58DB" w:rsidP="00D87DD9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считаем целесообразным исключить указанное положение из проекта акта.</w:t>
      </w:r>
    </w:p>
    <w:p w:rsidR="00CE58DB" w:rsidRPr="00D42B00" w:rsidRDefault="00CE58DB" w:rsidP="00C4201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9.</w:t>
      </w:r>
      <w:r w:rsidRPr="00D42B00">
        <w:rPr>
          <w:b/>
          <w:bCs/>
          <w:sz w:val="28"/>
          <w:szCs w:val="28"/>
        </w:rPr>
        <w:t xml:space="preserve"> </w:t>
      </w:r>
      <w:r w:rsidRPr="00D42B00">
        <w:rPr>
          <w:sz w:val="28"/>
          <w:szCs w:val="28"/>
        </w:rPr>
        <w:t>В пункте 2 статьи 19 проекта акта приведен перечень документов, которые могут быть приложены к заявлению. Учитывая диспозитивность нормы, остается неясным практический смысл предоставления таких документов, а также неясно, будут ли они отражены в реестре экспедиторов.</w:t>
      </w:r>
    </w:p>
    <w:p w:rsidR="00CE58DB" w:rsidRPr="00D42B00" w:rsidRDefault="00CE58DB" w:rsidP="00C4201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Вместе с тем одним из документов, которые могут быть приложены </w:t>
      </w:r>
      <w:r w:rsidRPr="00D42B00">
        <w:rPr>
          <w:sz w:val="28"/>
          <w:szCs w:val="28"/>
        </w:rPr>
        <w:br/>
        <w:t xml:space="preserve">к заявлению, является справка налогового органа об отсутствии задолженности </w:t>
      </w:r>
      <w:r w:rsidRPr="00D42B00">
        <w:rPr>
          <w:sz w:val="28"/>
          <w:szCs w:val="28"/>
        </w:rPr>
        <w:br/>
        <w:t xml:space="preserve">по налогам, сборам и иным обязательным платежам в бюджеты всех уровней. Отмечаем, что задолженность может появиться у субъектов предпринимательской деятельности, например, в случае проведения проверки достоверности начисленных платежей или может являться текущей задолженностью по начисленным, </w:t>
      </w:r>
      <w:r w:rsidRPr="00D42B00">
        <w:rPr>
          <w:sz w:val="28"/>
          <w:szCs w:val="28"/>
        </w:rPr>
        <w:br/>
        <w:t xml:space="preserve">но неуплаченным платежам. Такая задолженность не имеет отношения </w:t>
      </w:r>
      <w:r w:rsidRPr="00D42B00">
        <w:rPr>
          <w:sz w:val="28"/>
          <w:szCs w:val="28"/>
        </w:rPr>
        <w:br/>
        <w:t>к характеристике финансовой устойчивости организации. В этой связи, по мнению Минэкономразвития России, предоставление указанного документа нецелесообразно.</w:t>
      </w:r>
    </w:p>
    <w:p w:rsidR="00CE58DB" w:rsidRPr="00D42B00" w:rsidRDefault="00CE58DB" w:rsidP="00C4201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соответствии с подпунктом 2 пункта 2 статьи 19 проекта акта к заявлению может быть приложена независимая гарантия. При этом вид такой гарантии </w:t>
      </w:r>
      <w:r w:rsidRPr="00D42B00">
        <w:rPr>
          <w:sz w:val="28"/>
          <w:szCs w:val="28"/>
        </w:rPr>
        <w:br/>
        <w:t xml:space="preserve">не установлен. </w:t>
      </w:r>
    </w:p>
    <w:p w:rsidR="00CE58DB" w:rsidRPr="00D42B00" w:rsidRDefault="00CE58DB" w:rsidP="00C4201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Подпункт 3 пункта 2 статьи 19 проекта акта устанавливает возможность представления сведений об отсутствии у руководителя юридического лица </w:t>
      </w:r>
      <w:r w:rsidRPr="00D42B00">
        <w:rPr>
          <w:sz w:val="28"/>
          <w:szCs w:val="28"/>
        </w:rPr>
        <w:br/>
        <w:t xml:space="preserve">или индивидуального предпринимателя непогашенной или </w:t>
      </w:r>
      <w:r>
        <w:rPr>
          <w:sz w:val="28"/>
          <w:szCs w:val="28"/>
        </w:rPr>
        <w:t>не</w:t>
      </w:r>
      <w:r w:rsidRPr="00D42B00">
        <w:rPr>
          <w:sz w:val="28"/>
          <w:szCs w:val="28"/>
        </w:rPr>
        <w:t xml:space="preserve">снятой судимости </w:t>
      </w:r>
      <w:r w:rsidRPr="00D42B00">
        <w:rPr>
          <w:sz w:val="28"/>
          <w:szCs w:val="28"/>
        </w:rPr>
        <w:br/>
        <w:t xml:space="preserve">за уголовные преступления в сфере экономики, экологии, трудового </w:t>
      </w:r>
      <w:r w:rsidRPr="00D42B00">
        <w:rPr>
          <w:sz w:val="28"/>
          <w:szCs w:val="28"/>
        </w:rPr>
        <w:br/>
        <w:t xml:space="preserve">и транспортного законодательства. Уголовное законодательство не классифицирует преступления по сферам экологии, трудового и транспортного законодательства. Следовательно, инициирование представления указанной справки </w:t>
      </w:r>
      <w:r w:rsidRPr="00D42B00">
        <w:rPr>
          <w:sz w:val="28"/>
          <w:szCs w:val="28"/>
        </w:rPr>
        <w:br/>
        <w:t>и ее представление не может быть обеспечено.</w:t>
      </w:r>
    </w:p>
    <w:p w:rsidR="00CE58DB" w:rsidRPr="00D42B00" w:rsidRDefault="00CE58DB" w:rsidP="00C4201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Согласно подпункту 4 пункта 2 статьи 19 проекта акта заявителем может быть представлена рекомендация о соблюдении обычаев в области транспортно-экспедиторской деятельности, опыте работы, отзывах пользователей услуг, кредитных и страховых организаций, участии в деятельности ассоциаций (союзов). Остается неясным, кем может быть выдана такая рекомендация, а также цели предоставления рекомендации, учитывая, что такой документ не может подтверждать достоверность указанной в нем информации. </w:t>
      </w:r>
    </w:p>
    <w:p w:rsidR="00CE58DB" w:rsidRPr="00D42B00" w:rsidRDefault="00CE58DB" w:rsidP="00C4201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Учитывая, что получение указанных документов сопряжено </w:t>
      </w:r>
      <w:r w:rsidRPr="00D42B00">
        <w:rPr>
          <w:sz w:val="28"/>
          <w:szCs w:val="28"/>
        </w:rPr>
        <w:br/>
        <w:t>с дополнительными материальными и временными затратами субъектов предпринимательской деятельности, а также разработчиком не обоснована необходимость предоставления таких документов, считаем необходимым исключить пункт 2 статьи 19 из проекта акта.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10. Пунктом 5 статьи 19 проекта акта </w:t>
      </w:r>
      <w:r>
        <w:rPr>
          <w:sz w:val="28"/>
          <w:szCs w:val="28"/>
        </w:rPr>
        <w:t xml:space="preserve">устанавливается, что </w:t>
      </w:r>
      <w:r w:rsidRPr="00D42B00">
        <w:rPr>
          <w:sz w:val="28"/>
          <w:szCs w:val="28"/>
        </w:rPr>
        <w:t xml:space="preserve">в случае возврата заявления о включении сведений в реестр экспедиторов и прилагаемых документов </w:t>
      </w:r>
      <w:r>
        <w:rPr>
          <w:sz w:val="28"/>
          <w:szCs w:val="28"/>
        </w:rPr>
        <w:t xml:space="preserve">регистрирующая организация должна представить </w:t>
      </w:r>
      <w:r>
        <w:rPr>
          <w:i/>
          <w:iCs/>
          <w:sz w:val="28"/>
          <w:szCs w:val="28"/>
        </w:rPr>
        <w:t>мотивированное обоснование</w:t>
      </w:r>
      <w:r w:rsidRPr="00D42B00">
        <w:rPr>
          <w:i/>
          <w:iCs/>
          <w:sz w:val="28"/>
          <w:szCs w:val="28"/>
        </w:rPr>
        <w:t xml:space="preserve"> причин возврата</w:t>
      </w:r>
      <w:r w:rsidRPr="00D42B00">
        <w:rPr>
          <w:sz w:val="28"/>
          <w:szCs w:val="28"/>
        </w:rPr>
        <w:t xml:space="preserve">. 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Проектом акта не предусмотрен перечень оснований для возврата, что может способствовать расширению дискреционных полномочий должностных лиц.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Кроме того, в соответствии с пунктом 5 статьи 19 проекта акта регистрирующая организация может принять решение о приеме или </w:t>
      </w:r>
      <w:r w:rsidRPr="00D42B00">
        <w:rPr>
          <w:i/>
          <w:iCs/>
          <w:sz w:val="28"/>
          <w:szCs w:val="28"/>
        </w:rPr>
        <w:t>возврате</w:t>
      </w:r>
      <w:r w:rsidRPr="00D42B00">
        <w:rPr>
          <w:sz w:val="28"/>
          <w:szCs w:val="28"/>
        </w:rPr>
        <w:t xml:space="preserve"> заявления и сопутствующих документов. Однако в пунктах 6 и 7 статьи 19 проекта акта устанавливаются действия по </w:t>
      </w:r>
      <w:r w:rsidRPr="00D42B00">
        <w:rPr>
          <w:i/>
          <w:iCs/>
          <w:sz w:val="28"/>
          <w:szCs w:val="28"/>
        </w:rPr>
        <w:t>отказу</w:t>
      </w:r>
      <w:r w:rsidRPr="00D42B00">
        <w:rPr>
          <w:sz w:val="28"/>
          <w:szCs w:val="28"/>
        </w:rPr>
        <w:t xml:space="preserve"> в приеме заявления. В этой связи различное толкование действий регистрирующей организации также способствует расширению дискреционных полномочий.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этой связи считаем необходимым включить в проект акта основания возврата заявления о включении сведений в реестр экспедиторов, а также привести </w:t>
      </w:r>
      <w:r w:rsidRPr="00D42B00">
        <w:rPr>
          <w:sz w:val="28"/>
          <w:szCs w:val="28"/>
        </w:rPr>
        <w:br/>
        <w:t>в соответствие терминологию в пунктах 5-7 статьи 19 проекта акта в части возможных действий регистрирующей организации.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11. В пункте 1 статьи 24 проекта акта приведен перечень оснований </w:t>
      </w:r>
      <w:r w:rsidRPr="00D42B00">
        <w:rPr>
          <w:sz w:val="28"/>
          <w:szCs w:val="28"/>
        </w:rPr>
        <w:br/>
        <w:t xml:space="preserve">для исключения юридического лица или индивидуального предпринимателя </w:t>
      </w:r>
      <w:r w:rsidRPr="00D42B00">
        <w:rPr>
          <w:sz w:val="28"/>
          <w:szCs w:val="28"/>
        </w:rPr>
        <w:br/>
        <w:t>из реестра экспедиторов. В соответствии с подпунктом «в» одним</w:t>
      </w:r>
      <w:r>
        <w:rPr>
          <w:sz w:val="28"/>
          <w:szCs w:val="28"/>
        </w:rPr>
        <w:t xml:space="preserve"> из таких оснований является не</w:t>
      </w:r>
      <w:r w:rsidRPr="00D42B00">
        <w:rPr>
          <w:sz w:val="28"/>
          <w:szCs w:val="28"/>
        </w:rPr>
        <w:t xml:space="preserve">устранение в срок, </w:t>
      </w:r>
      <w:r w:rsidRPr="00D42B00">
        <w:rPr>
          <w:i/>
          <w:iCs/>
          <w:sz w:val="28"/>
          <w:szCs w:val="28"/>
        </w:rPr>
        <w:t>предусмотренный частью 4 статьи 25</w:t>
      </w:r>
      <w:r w:rsidRPr="00D42B00">
        <w:rPr>
          <w:sz w:val="28"/>
          <w:szCs w:val="28"/>
        </w:rPr>
        <w:t>, нарушений условий включения сведений о юридическом лице или индивидуальном предпринимателе в реестр экспедиторов.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Однако статьей 25 проекта акта регламентированы особенности правового положения профессионального объединения экспедиторов и не регулируется процедура исключения организаций из реестра экспедиторов.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Кроме того, проектом акта не установлены условия включения сведений </w:t>
      </w:r>
      <w:r w:rsidRPr="00D42B00">
        <w:rPr>
          <w:sz w:val="28"/>
          <w:szCs w:val="28"/>
        </w:rPr>
        <w:br/>
        <w:t xml:space="preserve">о юридическом лице или индивидуальном предпринимателе в реестр экспедиторов. 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Таким образом, считаем необходимым исключить указанное положение </w:t>
      </w:r>
      <w:r w:rsidRPr="00D42B00">
        <w:rPr>
          <w:sz w:val="28"/>
          <w:szCs w:val="28"/>
        </w:rPr>
        <w:br/>
        <w:t>из проекта акта или дополнить его условиями включения сведений о юридическом лице или индивидуальном предпринимателе в реестр экспедиторов.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12. Частью 2 статьи 1 проекта акта допускается участие иностранного инвестора в осуществлении транспортно-экспедиторской деятельности в случае, если он является учредителем (участником) коммерческой организации, созданной на территории Российской Федерации совместно с российским учредителем (участником)</w:t>
      </w:r>
      <w:r>
        <w:rPr>
          <w:sz w:val="28"/>
          <w:szCs w:val="28"/>
        </w:rPr>
        <w:t>,</w:t>
      </w:r>
      <w:r w:rsidRPr="00D42B00">
        <w:rPr>
          <w:sz w:val="28"/>
          <w:szCs w:val="28"/>
        </w:rPr>
        <w:t xml:space="preserve"> за исключением случаев, когда иностранный инвестор является резидентом государства-члена Евразийского экономического союза. Фактически, таким образом ограничивается деятельность других иностранных инвесторов, </w:t>
      </w:r>
      <w:r w:rsidRPr="00D42B00">
        <w:rPr>
          <w:sz w:val="28"/>
          <w:szCs w:val="28"/>
        </w:rPr>
        <w:br/>
        <w:t>не являющихся резидентами государств-членов Евразийского экономического союза.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Согласно части 1 статьи 5 Федерального закона от 9 июля 1999 г. №160-ФЗ «Об иностранных инвестициях в Российской Федерации» (далее – Закон </w:t>
      </w:r>
      <w:r w:rsidRPr="00D42B00">
        <w:rPr>
          <w:sz w:val="28"/>
          <w:szCs w:val="28"/>
        </w:rPr>
        <w:br/>
        <w:t>об иностранных инвестициях) иностранному инвестору на территории Российской Федерации предоставляется полная и безусловная защита прав и интересов, которая установлена федеральными законами и иными нормативными правовыми актами Российской Федерации, а также международными договорами Российской Федерации.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При этом иностранный инвестор обязан соблюдать антимонопольное законодательство Российской Федерации и не допускать недобросовестной конкуренции и ограничительной деловой практики. </w:t>
      </w:r>
    </w:p>
    <w:p w:rsidR="00CE58DB" w:rsidRPr="00D42B00" w:rsidRDefault="00CE58DB" w:rsidP="008872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Кроме того, согласно пункту 1 статьи 4 Закона об иностранных инвестициях правовой режим деятельности иностранных инвесторов и использования полученной от инвестиций прибыли не может быть менее благоприятным, чем правовой режим деятельности и использования полученной от инвестиций прибыли, предоставленный российским инвесторам.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введение ограничения на деятельность иностранных организаций не соответствует положениям Закона об иностранных инвестициях.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Минэкономразвития России отмечает, что в действующем законодательстве аналогичных институциональных ограничений деятельности иностранных организаций не предусмотрено</w:t>
      </w:r>
      <w:r w:rsidRPr="00D42B00">
        <w:rPr>
          <w:rStyle w:val="FootnoteReference"/>
          <w:sz w:val="28"/>
          <w:szCs w:val="28"/>
        </w:rPr>
        <w:footnoteReference w:id="14"/>
      </w:r>
      <w:r w:rsidRPr="00D42B00">
        <w:rPr>
          <w:sz w:val="28"/>
          <w:szCs w:val="28"/>
        </w:rPr>
        <w:t xml:space="preserve">. Согласно статье 6 Федерального закона </w:t>
      </w:r>
      <w:r w:rsidRPr="00D42B00">
        <w:rPr>
          <w:sz w:val="28"/>
          <w:szCs w:val="28"/>
        </w:rPr>
        <w:br/>
        <w:t xml:space="preserve">от 29 апреля 2008 г. № 57-ФЗ «О порядке осуществления иностранных инвестиций </w:t>
      </w:r>
      <w:r w:rsidRPr="00D42B00">
        <w:rPr>
          <w:sz w:val="28"/>
          <w:szCs w:val="28"/>
        </w:rPr>
        <w:br/>
        <w:t xml:space="preserve">в хозяйственные общества, имеющие стратегическое значение для обеспечения обороны страны и безопасности государства» (далее – Закон о порядке осуществления иностранных инвестиций) деятельность иностранных организаций ограничивается только в части деятельности, имеющей стратегическое значение для обеспечения обороны страны и безопасности государства. Следует отметить, что транспортно-экспедиторская деятельность к таким видам не относится. В этой связи отмечаем необоснованность ограничения деятельности иностранных компаний. </w:t>
      </w:r>
    </w:p>
    <w:p w:rsidR="00CE58DB" w:rsidRPr="00D42B00" w:rsidRDefault="00CE58DB" w:rsidP="00B167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42B00">
        <w:rPr>
          <w:sz w:val="28"/>
          <w:szCs w:val="28"/>
        </w:rPr>
        <w:t xml:space="preserve">Поскольку иностранные компании будут ограничены в осуществлении деятельности по предоставлению транспортно-экспедиторских услуг, а стоимость услуг российских организаций будет выше на 18 % (размер НДС), учитывая невозможность получать льготы по НДС по причинам, указанным </w:t>
      </w:r>
      <w:r w:rsidRPr="00D42B00">
        <w:rPr>
          <w:sz w:val="28"/>
          <w:szCs w:val="28"/>
        </w:rPr>
        <w:br/>
        <w:t>выше в настоящем заключении, отмечаем риск увеличения стоимости перевозок, что отразится на цене конечного продукта.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Кроме того, разработчиком в сводном отчете представлена информация </w:t>
      </w:r>
      <w:r w:rsidRPr="00D42B00">
        <w:rPr>
          <w:sz w:val="28"/>
          <w:szCs w:val="28"/>
        </w:rPr>
        <w:br/>
        <w:t xml:space="preserve">о росте спроса на транспортно-экспедиторские услуги. 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Отмечаем, что в случае ограничения деятельности иностранных организаций </w:t>
      </w:r>
      <w:r w:rsidRPr="00D42B00">
        <w:rPr>
          <w:sz w:val="28"/>
          <w:szCs w:val="28"/>
        </w:rPr>
        <w:br/>
        <w:t>и роста спроса на транспортно-экспедиторские услуги возникает риск дефицита предоставляемых услуг, особенно на международных перевозках.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Вместе с тем на настоящий момент членами профессиональных ассоциаций экспедиторов могут быть как российские, так и иностранные организации, осуществляющие свою деятельность в сфере оказания экспедиторских услуг отечественным и иностранным клиентам. Отмечаем, что ограничение </w:t>
      </w:r>
      <w:r w:rsidRPr="00D42B00">
        <w:rPr>
          <w:sz w:val="28"/>
          <w:szCs w:val="28"/>
        </w:rPr>
        <w:br/>
        <w:t xml:space="preserve">на осуществление деятельности иностранных организаций будет способствовать уменьшению количества членов ассоциаций экспедиторов. Учитывая, что такие организации также уплачивают вступительные и членские взносы, запрет деятельности компаний со 100 % иностранным капиталом повлечет снижение общего количества взносов в ассоциации, что в дальнейшем способно отразиться </w:t>
      </w:r>
      <w:r w:rsidRPr="00D42B00">
        <w:rPr>
          <w:sz w:val="28"/>
          <w:szCs w:val="28"/>
        </w:rPr>
        <w:br/>
        <w:t xml:space="preserve">на росте вступительных и членских взносов для всех организаций, в том числе </w:t>
      </w:r>
      <w:r w:rsidRPr="00D42B00">
        <w:rPr>
          <w:sz w:val="28"/>
          <w:szCs w:val="28"/>
        </w:rPr>
        <w:br/>
        <w:t>и российских.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Отмечаем, что проектом акта не указано, какая доля российского участия необходима для осуществления деятельности иностранных организаций. Кроме того, на практике складываются ситуации, когда организации со 100% иностранным капиталом имеют «локальную составляющую». Так, например, такая компания при работе с клиентами, у которых есть соглашение о разделе продукции </w:t>
      </w:r>
      <w:r w:rsidRPr="00D42B00">
        <w:rPr>
          <w:sz w:val="28"/>
          <w:szCs w:val="28"/>
        </w:rPr>
        <w:br/>
        <w:t xml:space="preserve">с Правительством Российской Федерации, вправе нанимать субподрядчиков, доля участия российских лиц в которых не менее 50%. Соответственно, формально организации со 100% иностранным капиталом в соответствии с проектом акта </w:t>
      </w:r>
      <w:r w:rsidRPr="00D42B00">
        <w:rPr>
          <w:sz w:val="28"/>
          <w:szCs w:val="28"/>
        </w:rPr>
        <w:br/>
        <w:t>не вправе предоставлять экспедиторские услуги.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Относительно выраженных представителями субъектов предпринимательской деятельности мнений о неконкурентных ценах российских экспедиторов </w:t>
      </w:r>
      <w:r w:rsidRPr="00D42B00">
        <w:rPr>
          <w:sz w:val="28"/>
          <w:szCs w:val="28"/>
        </w:rPr>
        <w:br/>
        <w:t>по сравнению с иностранными необходимо отметить, что в отношении импортируемого и экспортируемого грузов в соответствии с подпунктом 2.1 пункта 1 статьи 164 НК РФ</w:t>
      </w:r>
      <w:r>
        <w:rPr>
          <w:sz w:val="28"/>
          <w:szCs w:val="28"/>
        </w:rPr>
        <w:t xml:space="preserve"> транспортно-экспедиторски</w:t>
      </w:r>
      <w:r w:rsidRPr="00D42B00">
        <w:rPr>
          <w:sz w:val="28"/>
          <w:szCs w:val="28"/>
        </w:rPr>
        <w:t xml:space="preserve">е услуги облагаются НДС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>по нулевой ставке. При оказании таких услуг иностранной организацией у клиента не возникает никаких налоговых последствий по НДС, поскольку территория Российской Федерации местом оказания услуг по организации международном перевозки не признается</w:t>
      </w:r>
      <w:r w:rsidRPr="00D42B00">
        <w:rPr>
          <w:rStyle w:val="FootnoteReference"/>
          <w:sz w:val="28"/>
          <w:szCs w:val="28"/>
        </w:rPr>
        <w:footnoteReference w:id="15"/>
      </w:r>
      <w:r w:rsidRPr="00D42B00">
        <w:rPr>
          <w:sz w:val="28"/>
          <w:szCs w:val="28"/>
        </w:rPr>
        <w:t>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Более того, проектом акта ограничиваются иные формы иностранных инвестиций, например, инвестиционные контракты, инвестиции в рамках государственно-частного партнерства.</w:t>
      </w:r>
    </w:p>
    <w:p w:rsidR="00CE58DB" w:rsidRPr="00D42B00" w:rsidRDefault="00CE58DB" w:rsidP="00A527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считаем необходимым исключить из проекта акта положения в части ограничений деятельности иностранных организаций.</w:t>
      </w:r>
    </w:p>
    <w:p w:rsidR="00CE58DB" w:rsidRPr="00D42B00" w:rsidRDefault="00CE58DB" w:rsidP="00B635E6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13. В пункте 4 статьи 5 проекта акта установлен закрытый перечень способов определения размера вознаграждения экспедитора.</w:t>
      </w:r>
    </w:p>
    <w:p w:rsidR="00CE58DB" w:rsidRPr="00D42B00" w:rsidRDefault="00CE58DB" w:rsidP="00B63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 Вознаграждение экспедитора является доходом экспедитора </w:t>
      </w:r>
      <w:r w:rsidRPr="00D42B00">
        <w:rPr>
          <w:sz w:val="28"/>
          <w:szCs w:val="28"/>
        </w:rPr>
        <w:br/>
        <w:t xml:space="preserve">за предоставление услуг по договору транспортного экспедирования. </w:t>
      </w:r>
    </w:p>
    <w:p w:rsidR="00CE58DB" w:rsidRPr="00D42B00" w:rsidRDefault="00CE58DB" w:rsidP="00B635E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42B00">
        <w:rPr>
          <w:sz w:val="28"/>
          <w:szCs w:val="28"/>
        </w:rPr>
        <w:t xml:space="preserve">В соответствии с </w:t>
      </w:r>
      <w:hyperlink r:id="rId7" w:history="1">
        <w:r w:rsidRPr="00D42B00">
          <w:rPr>
            <w:sz w:val="28"/>
            <w:szCs w:val="28"/>
          </w:rPr>
          <w:t>пунктом 4 статьи 421</w:t>
        </w:r>
      </w:hyperlink>
      <w:r w:rsidRPr="00D42B00">
        <w:rPr>
          <w:sz w:val="28"/>
          <w:szCs w:val="28"/>
        </w:rPr>
        <w:t xml:space="preserve"> ГК РФ стороны договора возмездного оказания услуг вправе согласовать выплату вознаграждения исполнителю </w:t>
      </w:r>
      <w:r w:rsidRPr="00D42B00">
        <w:rPr>
          <w:sz w:val="28"/>
          <w:szCs w:val="28"/>
        </w:rPr>
        <w:br/>
        <w:t>в различных формах, если такие условия не противоречат основополагающим принципам российского права.</w:t>
      </w:r>
    </w:p>
    <w:p w:rsidR="00CE58DB" w:rsidRPr="00D42B00" w:rsidRDefault="00CE58DB" w:rsidP="00DE0E77">
      <w:pPr>
        <w:spacing w:line="360" w:lineRule="auto"/>
        <w:ind w:firstLine="851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то же время обращаем внимание на неоднозначное толкование размера вознаграждения экспедитора в связи с наличием смешения понятий «стоимость услуг экспедитора» и «вознаграждение экспедитора». В частности, в качестве разновидности размера вознаграждения в проекте акта указывается «фиксированная денежная сумма за оказанные услуги по договору», что может являться </w:t>
      </w:r>
      <w:r w:rsidRPr="00D42B00">
        <w:rPr>
          <w:sz w:val="28"/>
          <w:szCs w:val="28"/>
        </w:rPr>
        <w:br/>
        <w:t xml:space="preserve">как фиксированной суммой непосредственно вознаграждения экспедитору, </w:t>
      </w:r>
      <w:r w:rsidRPr="00D42B00">
        <w:rPr>
          <w:sz w:val="28"/>
          <w:szCs w:val="28"/>
        </w:rPr>
        <w:br/>
        <w:t xml:space="preserve">так и включать в себя возмещаемые расходы. </w:t>
      </w:r>
    </w:p>
    <w:p w:rsidR="00CE58DB" w:rsidRPr="00D42B00" w:rsidRDefault="00CE58DB" w:rsidP="00DE0E77">
      <w:pPr>
        <w:spacing w:line="360" w:lineRule="auto"/>
        <w:ind w:firstLine="851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Также остается неясным, что понимать под «процентной ставкой </w:t>
      </w:r>
      <w:r w:rsidRPr="00D42B00">
        <w:rPr>
          <w:sz w:val="28"/>
          <w:szCs w:val="28"/>
        </w:rPr>
        <w:br/>
        <w:t xml:space="preserve">от стоимости оказанных услуг», поскольку экспедитор может оказывать услугу </w:t>
      </w:r>
      <w:r w:rsidRPr="00D42B00">
        <w:rPr>
          <w:sz w:val="28"/>
          <w:szCs w:val="28"/>
        </w:rPr>
        <w:br/>
        <w:t xml:space="preserve">как самостоятельно, так и с привлечением третьих лиц. </w:t>
      </w:r>
    </w:p>
    <w:p w:rsidR="00CE58DB" w:rsidRPr="00D42B00" w:rsidRDefault="00CE58DB" w:rsidP="00DE0E77">
      <w:pPr>
        <w:spacing w:line="360" w:lineRule="auto"/>
        <w:ind w:firstLine="851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считаем целесообразным предусматривать способы определения вознаграждения гражданско-правовым договором.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14.</w:t>
      </w:r>
      <w:r w:rsidRPr="00D42B00">
        <w:rPr>
          <w:b/>
          <w:bCs/>
          <w:sz w:val="28"/>
          <w:szCs w:val="28"/>
        </w:rPr>
        <w:t xml:space="preserve"> </w:t>
      </w:r>
      <w:r w:rsidRPr="00D42B00">
        <w:rPr>
          <w:sz w:val="28"/>
          <w:szCs w:val="28"/>
        </w:rPr>
        <w:t>Согласно статье 6 проекта акта экспедитор вправе застраховать риск своей ответственности за неисполнение или ненадлежащее исполнение обязанностей, предусмотренных договором транспортного экспедирования и Законом о ТЭД.</w:t>
      </w:r>
    </w:p>
    <w:p w:rsidR="00CE58DB" w:rsidRPr="00D42B00" w:rsidRDefault="00CE58DB" w:rsidP="00EE39A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Указанный вид страхования предусмотрен проектом акта в качестве добровольного. Отмечаем, что страхование ответственности за неисполнение </w:t>
      </w:r>
      <w:r w:rsidRPr="00D42B00">
        <w:rPr>
          <w:sz w:val="28"/>
          <w:szCs w:val="28"/>
        </w:rPr>
        <w:br/>
        <w:t xml:space="preserve">или ненадлежащее исполнение обязанностей не может являться страховым риском, так как его наступление всецело зависит от страхователя. </w:t>
      </w:r>
    </w:p>
    <w:p w:rsidR="00CE58DB" w:rsidRPr="00D42B00" w:rsidRDefault="00CE58DB" w:rsidP="00EE39A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соответствии с главой 48 ГК РФ представляется возможным страхование имущества, ответственности за причинение вреда, ответственности по договору, предпринимательского риска. При этом страхование ответственности </w:t>
      </w:r>
      <w:r w:rsidRPr="00D42B00">
        <w:rPr>
          <w:sz w:val="28"/>
          <w:szCs w:val="28"/>
        </w:rPr>
        <w:br/>
        <w:t>за неисполнение или ненадлежащее исполнение обязанностей гражданским законодательством не предусмотрено.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Отмечаем, что груз может быть застрахован перевозчиком. Т</w:t>
      </w:r>
      <w:r>
        <w:rPr>
          <w:sz w:val="28"/>
          <w:szCs w:val="28"/>
        </w:rPr>
        <w:t>акое условие</w:t>
      </w:r>
      <w:r w:rsidRPr="00D42B00">
        <w:rPr>
          <w:sz w:val="28"/>
          <w:szCs w:val="28"/>
        </w:rPr>
        <w:t xml:space="preserve"> </w:t>
      </w:r>
      <w:r w:rsidRPr="00D42B00">
        <w:rPr>
          <w:sz w:val="28"/>
          <w:szCs w:val="28"/>
        </w:rPr>
        <w:br/>
        <w:t>при необходимости можно установить в договоре на оказание транспортно-экспедиторской услуги без установления норм законодательства.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считаем необходимым статью 6 исключить из проекта акта.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15. В соответствии с пунктом 1 статьи 25 проекта акта допускается создание профессионального объединения экспедиторов в целях стимулирования развития рынка экспедиторских услуг.</w:t>
      </w:r>
    </w:p>
    <w:p w:rsidR="00CE58DB" w:rsidRPr="00D42B00" w:rsidRDefault="00CE58DB" w:rsidP="00B8029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Возможность создания некоммерческой организации и правовое положение такой организации определены Федеральным законом от 12 января 1996 г. № 7-ФЗ «О некоммерческих организациях» (далее – Закон об НКО). 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соответствии с Законом об НКО для содействия осуществлени</w:t>
      </w:r>
      <w:r>
        <w:rPr>
          <w:sz w:val="28"/>
          <w:szCs w:val="28"/>
        </w:rPr>
        <w:t>ю</w:t>
      </w:r>
      <w:r w:rsidRPr="00D42B00">
        <w:rPr>
          <w:sz w:val="28"/>
          <w:szCs w:val="28"/>
        </w:rPr>
        <w:t xml:space="preserve"> деятельности, в том числе и защиты профессиональных интересов, предусмотрены следующие формы некоммерческих организаций для юридических лиц:</w:t>
      </w:r>
    </w:p>
    <w:p w:rsidR="00CE58DB" w:rsidRPr="00D42B00" w:rsidRDefault="00CE58DB" w:rsidP="0034138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некоммерческое партнерство;</w:t>
      </w:r>
    </w:p>
    <w:p w:rsidR="00CE58DB" w:rsidRPr="00D42B00" w:rsidRDefault="00CE58DB" w:rsidP="0034138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ассоциации (союзы).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Статьей 4 проекта акта определено, что профессиональным объединением экспедиторов могут стать некоммерческие организации только в форме ассоциаций (союзов). Минэкономразвития России не считает целесообразным ограничение форм некоммерческой организации.</w:t>
      </w:r>
    </w:p>
    <w:p w:rsidR="00CE58DB" w:rsidRPr="00D42B00" w:rsidRDefault="00CE58DB" w:rsidP="003956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Вместе с тем пункт 2 статьи 25 проекта акта содержит закрытый перечень задач профессионального объединения, что не позволяет отнести к числу задач иные задачи</w:t>
      </w:r>
      <w:r>
        <w:rPr>
          <w:sz w:val="28"/>
          <w:szCs w:val="28"/>
        </w:rPr>
        <w:t>, решение которых может о</w:t>
      </w:r>
      <w:r w:rsidRPr="00D42B00">
        <w:rPr>
          <w:sz w:val="28"/>
          <w:szCs w:val="28"/>
        </w:rPr>
        <w:t xml:space="preserve">казаться необходимым для такого объединения.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>В этой связи представляется необходимым дополнение перечня задач профессионального объединения с целью учета иных задач, либо исключение положений о создании профессионального объединения из проекта акта.</w:t>
      </w:r>
    </w:p>
    <w:p w:rsidR="00CE58DB" w:rsidRPr="00D42B00" w:rsidRDefault="00CE58DB" w:rsidP="004F54DA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16. Статьей 25 проекта акта предусмотрено регулирование деятельности профессионального объединения экспедиторов. Обращаем внимание, что статья 4 включена в главу 4 «Реестр экспедиторов». В этой связи представляется невозможным вступление в профессиональное объединение экспедиторов организаций, не включенных в реестр экспедиторов. </w:t>
      </w:r>
    </w:p>
    <w:p w:rsidR="00CE58DB" w:rsidRPr="00D42B00" w:rsidRDefault="00CE58DB" w:rsidP="004F54DA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Учитывая, что включение в реестр экспедиторов является необязательным </w:t>
      </w:r>
      <w:r w:rsidRPr="00D42B00">
        <w:rPr>
          <w:sz w:val="28"/>
          <w:szCs w:val="28"/>
        </w:rPr>
        <w:br/>
        <w:t xml:space="preserve">и затратным, считаем необоснованными какие-либо ограничения для вступления </w:t>
      </w:r>
      <w:r w:rsidRPr="00D42B00">
        <w:rPr>
          <w:sz w:val="28"/>
          <w:szCs w:val="28"/>
        </w:rPr>
        <w:br/>
        <w:t xml:space="preserve">в профессиональное объединение экспедиторов для организаций, не включенных </w:t>
      </w:r>
      <w:r w:rsidRPr="00D42B00">
        <w:rPr>
          <w:sz w:val="28"/>
          <w:szCs w:val="28"/>
        </w:rPr>
        <w:br/>
        <w:t>в реестр экспедиторов.</w:t>
      </w:r>
    </w:p>
    <w:p w:rsidR="00CE58DB" w:rsidRPr="00D42B00" w:rsidRDefault="00CE58DB" w:rsidP="004E7545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17. Частью 6 статьи 5 проекта акта устанавливается, что оказание комплекса транспортно-экспедиторских услуг по условиям смешанного договора должно осуществляться в соответствии с требованиями, установленными Законом </w:t>
      </w:r>
      <w:r w:rsidRPr="00D42B00">
        <w:rPr>
          <w:sz w:val="28"/>
          <w:szCs w:val="28"/>
        </w:rPr>
        <w:br/>
        <w:t xml:space="preserve">о ТЭД. Однако требования к заключению договоров, в том числе и смешанных, </w:t>
      </w:r>
      <w:r w:rsidRPr="00D42B00">
        <w:rPr>
          <w:sz w:val="28"/>
          <w:szCs w:val="28"/>
        </w:rPr>
        <w:br/>
        <w:t xml:space="preserve">и осуществлению транспортно-экспедиторской деятельности предусмотрены </w:t>
      </w:r>
      <w:r w:rsidRPr="00D42B00">
        <w:rPr>
          <w:sz w:val="28"/>
          <w:szCs w:val="28"/>
        </w:rPr>
        <w:br/>
        <w:t>ГК РФ</w:t>
      </w:r>
      <w:r w:rsidRPr="00D42B00">
        <w:rPr>
          <w:rStyle w:val="FootnoteReference"/>
          <w:sz w:val="28"/>
          <w:szCs w:val="28"/>
        </w:rPr>
        <w:footnoteReference w:id="16"/>
      </w:r>
      <w:r w:rsidRPr="00D42B00">
        <w:rPr>
          <w:sz w:val="28"/>
          <w:szCs w:val="28"/>
        </w:rPr>
        <w:t xml:space="preserve"> и Правилами транспортно-экспедиционной деятельности</w:t>
      </w:r>
      <w:r>
        <w:rPr>
          <w:sz w:val="28"/>
          <w:szCs w:val="28"/>
        </w:rPr>
        <w:t xml:space="preserve"> </w:t>
      </w:r>
      <w:r w:rsidRPr="00D42B00">
        <w:rPr>
          <w:sz w:val="28"/>
          <w:szCs w:val="28"/>
        </w:rPr>
        <w:t xml:space="preserve">(далее – Правила ТЭД), утвержденными постановлением Правительства Российской Федерации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>от 8 сентября 2006 г. № 554</w:t>
      </w:r>
      <w:r>
        <w:rPr>
          <w:sz w:val="28"/>
          <w:szCs w:val="28"/>
        </w:rPr>
        <w:t>.</w:t>
      </w:r>
    </w:p>
    <w:p w:rsidR="00CE58DB" w:rsidRPr="00D42B00" w:rsidRDefault="00CE58DB" w:rsidP="00B60C6E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считаем необходимым дополнить часть 6 статьи 5 проекта акта в части необходимости соответствия комплекса транспортно-экспедиторских услуг условиям смешанного договора указанным нормам.</w:t>
      </w:r>
    </w:p>
    <w:p w:rsidR="00CE58DB" w:rsidRPr="00D42B00" w:rsidRDefault="00CE58DB" w:rsidP="00B60C6E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18. В соответствии с абзацем 3 пункта 9 проекта акта экспедитор не вправе принимать от клиента грузы, если их перевозка требует специального разрешения органов государственной власти Российской Федерации.</w:t>
      </w:r>
    </w:p>
    <w:p w:rsidR="00CE58DB" w:rsidRPr="00D42B00" w:rsidRDefault="00CE58DB" w:rsidP="00B60C6E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настоящее время все перевозки опасных, тяжеловесных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>и крупногабаритных грузов требуют такого разрешения и часть из них успешно осуществляется экспедиторами</w:t>
      </w:r>
      <w:r w:rsidRPr="00D42B00">
        <w:rPr>
          <w:rStyle w:val="FootnoteReference"/>
          <w:sz w:val="28"/>
          <w:szCs w:val="28"/>
        </w:rPr>
        <w:footnoteReference w:id="17"/>
      </w:r>
      <w:r w:rsidRPr="00D42B00">
        <w:rPr>
          <w:sz w:val="28"/>
          <w:szCs w:val="28"/>
          <w:vertAlign w:val="superscript"/>
        </w:rPr>
        <w:t>,</w:t>
      </w:r>
      <w:r w:rsidRPr="00D42B00">
        <w:rPr>
          <w:rStyle w:val="FootnoteReference"/>
          <w:sz w:val="28"/>
          <w:szCs w:val="28"/>
        </w:rPr>
        <w:footnoteReference w:id="18"/>
      </w:r>
      <w:r w:rsidRPr="00D42B00">
        <w:rPr>
          <w:sz w:val="28"/>
          <w:szCs w:val="28"/>
        </w:rPr>
        <w:t>. При этом при перевозке таких грузов соблюдаются все требования безопасности перевозок.</w:t>
      </w:r>
    </w:p>
    <w:p w:rsidR="00CE58DB" w:rsidRPr="00D42B00" w:rsidRDefault="00CE58DB" w:rsidP="00B60C6E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Обращаем внимание, что указанная норма не соответствует сложившейся практике на  рынке транспортно-экспедиционных услуг, а также вводит необоснованное ограничение на экспедиторскую деятельность в случае, если </w:t>
      </w:r>
      <w:r w:rsidRPr="00D42B00">
        <w:rPr>
          <w:sz w:val="28"/>
          <w:szCs w:val="28"/>
        </w:rPr>
        <w:br/>
        <w:t xml:space="preserve">у перевозчика специальное разрешение на перевозки таких грузов имеется </w:t>
      </w:r>
      <w:r w:rsidRPr="00D42B00">
        <w:rPr>
          <w:sz w:val="28"/>
          <w:szCs w:val="28"/>
        </w:rPr>
        <w:br/>
        <w:t>или экспедитор (перевозчик) готов получить такое разрешение.</w:t>
      </w:r>
    </w:p>
    <w:p w:rsidR="00CE58DB" w:rsidRPr="00D42B00" w:rsidRDefault="00CE58DB" w:rsidP="00B60C6E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Более того, в соответствии с абзацем 2  пункта 9 проекта акта опасные, скоропортящиеся и иные грузы, требующие специальных условий перевозки, принимаются экспедитором при предъявлении информации об условиях транспортировки указанных грузов. Отмечаем, что для перевозки опасных </w:t>
      </w:r>
      <w:r w:rsidRPr="00D42B00">
        <w:rPr>
          <w:sz w:val="28"/>
          <w:szCs w:val="28"/>
        </w:rPr>
        <w:br/>
        <w:t>и иных грузов, требующих специальных условий перевозки, могут требоваться специальные разрешения органов государственной власти Российской Федерации. Учитывая ограничения, указанные в абзаце 3 пункта 9 проекта акта, можно предположить, что перевозки таких грузов не смогут осуществляться экспедиторами.</w:t>
      </w:r>
    </w:p>
    <w:p w:rsidR="00CE58DB" w:rsidRPr="00D42B00" w:rsidRDefault="00CE58DB" w:rsidP="00B60C6E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связи с указанным считаем необходимым норму о запрете деятельности экспедитора в случаях необходимости специального разрешения из статьи 6 проекта акта исключить.</w:t>
      </w:r>
    </w:p>
    <w:p w:rsidR="00CE58DB" w:rsidRPr="00D42B00" w:rsidRDefault="00CE58DB" w:rsidP="00461DC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D42B00">
        <w:rPr>
          <w:sz w:val="28"/>
          <w:szCs w:val="28"/>
        </w:rPr>
        <w:t xml:space="preserve">19. Отмечаем, что статьей 2 Закона о ТЭД регламентировано, что Правилами транспортно-экспедиционной деятельности должны быть утверждены требования </w:t>
      </w:r>
      <w:r>
        <w:rPr>
          <w:sz w:val="28"/>
          <w:szCs w:val="28"/>
        </w:rPr>
        <w:br/>
        <w:t>к качеству экспедиторских</w:t>
      </w:r>
      <w:r w:rsidRPr="00D42B00">
        <w:rPr>
          <w:sz w:val="28"/>
          <w:szCs w:val="28"/>
        </w:rPr>
        <w:t xml:space="preserve"> услуг. В соответствии с пунктом 19 Правил ТЭД качество оказываемых экспед</w:t>
      </w:r>
      <w:r>
        <w:rPr>
          <w:sz w:val="28"/>
          <w:szCs w:val="28"/>
        </w:rPr>
        <w:t>итором транспортно-экспедиторских</w:t>
      </w:r>
      <w:r w:rsidRPr="00D42B00">
        <w:rPr>
          <w:sz w:val="28"/>
          <w:szCs w:val="28"/>
        </w:rPr>
        <w:t xml:space="preserve"> услуг должно отвечать требованиям национальных стандартов Российской Федерации, нормативных правовых актов в об</w:t>
      </w:r>
      <w:r>
        <w:rPr>
          <w:sz w:val="28"/>
          <w:szCs w:val="28"/>
        </w:rPr>
        <w:t>ласти транспортно-экспедиторской</w:t>
      </w:r>
      <w:r w:rsidRPr="00D42B00">
        <w:rPr>
          <w:sz w:val="28"/>
          <w:szCs w:val="28"/>
        </w:rPr>
        <w:t xml:space="preserve"> деятельности, а также условиям договора транспортной экспедиции.</w:t>
      </w:r>
    </w:p>
    <w:p w:rsidR="00CE58DB" w:rsidRPr="00D42B00" w:rsidRDefault="00CE58DB" w:rsidP="0081626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Минэкономразвития России отмечает, что национальные стандарты Российской Федерации в части требований к кач</w:t>
      </w:r>
      <w:r>
        <w:rPr>
          <w:sz w:val="28"/>
          <w:szCs w:val="28"/>
        </w:rPr>
        <w:t>еству транспортно-экспедиторских</w:t>
      </w:r>
      <w:r w:rsidRPr="00D42B00">
        <w:rPr>
          <w:sz w:val="28"/>
          <w:szCs w:val="28"/>
        </w:rPr>
        <w:t xml:space="preserve"> услуг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 xml:space="preserve">до настоящего времени не приняты. </w:t>
      </w:r>
    </w:p>
    <w:p w:rsidR="00CE58DB" w:rsidRPr="00D42B00" w:rsidRDefault="00CE58DB" w:rsidP="00852D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соответствии с частью 3 статьи 27 Федерального закона от 29 июня 2015 г. </w:t>
      </w:r>
      <w:r w:rsidRPr="00D42B00">
        <w:rPr>
          <w:sz w:val="28"/>
          <w:szCs w:val="28"/>
        </w:rPr>
        <w:br/>
        <w:t xml:space="preserve">№ 162-ФЗ «О стандартизации в Российской Федерации»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регистрации, пунктов, разделов национальных стандартов,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 xml:space="preserve">что делает такие части стандартов обязательными требованиями. Отмечаем,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 xml:space="preserve">что в Законе о ТЭД в отличие от Правил ТЭД применена иная правовая конструкция, а именно отдельные требования, которые должны содержаться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>в национальном стандарте</w:t>
      </w:r>
      <w:r>
        <w:rPr>
          <w:sz w:val="28"/>
          <w:szCs w:val="28"/>
        </w:rPr>
        <w:t>,</w:t>
      </w:r>
      <w:r w:rsidRPr="00D42B00">
        <w:rPr>
          <w:sz w:val="28"/>
          <w:szCs w:val="28"/>
        </w:rPr>
        <w:t xml:space="preserve"> приведены непосредственно в тексте нормативного правового акта.</w:t>
      </w:r>
    </w:p>
    <w:p w:rsidR="00CE58DB" w:rsidRPr="00D42B00" w:rsidRDefault="00CE58DB" w:rsidP="00871FC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Таким образом, указанные нормы статьи 2 проекта акта, а также абзаца 3 пункта 2 статьи 2 Закона о ТЭД не соответствуют нормам действующего законодательства. В этой связи считаем целесообразным предусмотреть исключение указанной нормы из Закона о ТЭД до момента принятия требований к качеству транспортно-экспедиторских услуг.</w:t>
      </w:r>
    </w:p>
    <w:p w:rsidR="00CE58DB" w:rsidRPr="00D42B00" w:rsidRDefault="00CE58DB" w:rsidP="0081626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Кроме того, для разработки требований к качеству транспортно-экспедиторских услуг необходимо проработать вопросы целесообразности предъявления указанных требований к экспедиторам.</w:t>
      </w:r>
    </w:p>
    <w:p w:rsidR="00CE58DB" w:rsidRPr="00D42B00" w:rsidRDefault="00CE58DB" w:rsidP="00E72931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20. Проектом акта предусмотрено изменение терминологии в части замены слова «экспедиционный» на слово «экспедиторский» в законе о ТЭД </w:t>
      </w:r>
      <w:r w:rsidRPr="00D42B00">
        <w:rPr>
          <w:sz w:val="28"/>
          <w:szCs w:val="28"/>
        </w:rPr>
        <w:br/>
        <w:t>и главе 41 ГК РФ. В этой связи на практике могут возникнуть следующие риски правоприменения.</w:t>
      </w:r>
    </w:p>
    <w:p w:rsidR="00CE58DB" w:rsidRPr="00D42B00" w:rsidRDefault="00CE58DB" w:rsidP="0081626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20.1. Обращаем внимание, что транспортно-экспедиторская деятельность также регулируется другими подзаконными актами</w:t>
      </w:r>
      <w:r w:rsidRPr="00D42B00">
        <w:rPr>
          <w:rStyle w:val="FootnoteReference"/>
          <w:sz w:val="28"/>
          <w:szCs w:val="28"/>
        </w:rPr>
        <w:footnoteReference w:id="19"/>
      </w:r>
      <w:r w:rsidRPr="00D42B00">
        <w:rPr>
          <w:sz w:val="28"/>
          <w:szCs w:val="28"/>
        </w:rPr>
        <w:t xml:space="preserve">. </w:t>
      </w:r>
    </w:p>
    <w:p w:rsidR="00CE58DB" w:rsidRPr="00D42B00" w:rsidRDefault="00CE58DB" w:rsidP="0081626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связи с указанным отмечаем необходимость изменения терминологии во всех нормативных правовых актах, регулирующих экспедиторскую деятельность.</w:t>
      </w:r>
    </w:p>
    <w:p w:rsidR="00CE58DB" w:rsidRPr="00D42B00" w:rsidRDefault="00CE58DB" w:rsidP="00700EED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20.2. Следует отметить, что измененная терминология будет применяться </w:t>
      </w:r>
      <w:r w:rsidRPr="00D42B00">
        <w:rPr>
          <w:sz w:val="28"/>
          <w:szCs w:val="28"/>
        </w:rPr>
        <w:br/>
        <w:t xml:space="preserve">на вновь заключаемые договоры транспортного экспедирования. Однако остается неясным, будут ли действительны уже заключенные договоры. </w:t>
      </w:r>
    </w:p>
    <w:p w:rsidR="00CE58DB" w:rsidRPr="00D42B00" w:rsidRDefault="00CE58DB" w:rsidP="00700EED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пункте 15.2 сводного отчета разработчиком не указано на необходимость установления переходного периода.</w:t>
      </w:r>
    </w:p>
    <w:p w:rsidR="00CE58DB" w:rsidRPr="00D42B00" w:rsidRDefault="00CE58DB" w:rsidP="00700EED">
      <w:pPr>
        <w:tabs>
          <w:tab w:val="left" w:pos="22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связи с изложенным Минэкономразвития России считает целесообраз</w:t>
      </w:r>
      <w:r>
        <w:rPr>
          <w:sz w:val="28"/>
          <w:szCs w:val="28"/>
        </w:rPr>
        <w:t>ным либо отказаться от изменения</w:t>
      </w:r>
      <w:r w:rsidRPr="00D42B00">
        <w:rPr>
          <w:sz w:val="28"/>
          <w:szCs w:val="28"/>
        </w:rPr>
        <w:t xml:space="preserve"> терминологии, либо предусмотреть достаточный переходный период сроком не менее одного года, а также указать в проекте акта, что пункт 6 проектируемой статьи 4 проекта акта будет распространяться только </w:t>
      </w:r>
      <w:r w:rsidRPr="00D42B00">
        <w:rPr>
          <w:sz w:val="28"/>
          <w:szCs w:val="28"/>
        </w:rPr>
        <w:br/>
        <w:t>на вновь заключенные договоры.</w:t>
      </w:r>
    </w:p>
    <w:p w:rsidR="00CE58DB" w:rsidRPr="00D42B00" w:rsidRDefault="00CE58DB" w:rsidP="0081626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20.3. Статьей 4 проекта акта клиент определяется в качестве грузовладельца </w:t>
      </w:r>
      <w:r>
        <w:rPr>
          <w:sz w:val="28"/>
          <w:szCs w:val="28"/>
        </w:rPr>
        <w:br/>
      </w:r>
      <w:r w:rsidRPr="00D42B00">
        <w:rPr>
          <w:sz w:val="28"/>
          <w:szCs w:val="28"/>
        </w:rPr>
        <w:t>или уполномоченного им лица, заключившего с экспедитором договор транспортного экспедирования и принявшего на себя обязательство оплатить оказанные транспортно-экспедиторские услуги.</w:t>
      </w:r>
    </w:p>
    <w:p w:rsidR="00CE58DB" w:rsidRPr="00D42B00" w:rsidRDefault="00CE58DB" w:rsidP="0081626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Минэкономразвития России отмечает, что указанной формулировкой ограничивается круг лиц, которые могут быть клиентами, и не предполагает ситуации с предоставлением услуги, которая может быть установлена договором </w:t>
      </w:r>
      <w:r w:rsidRPr="00D42B00">
        <w:rPr>
          <w:sz w:val="28"/>
          <w:szCs w:val="28"/>
        </w:rPr>
        <w:br/>
        <w:t xml:space="preserve">о предоставлении транспортно-экспедиторских услуг, путем возложения обязательств на грузополучателя оплатить услуги. </w:t>
      </w:r>
    </w:p>
    <w:p w:rsidR="00CE58DB" w:rsidRPr="00D42B00" w:rsidRDefault="00CE58DB" w:rsidP="005A719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Кроме того, термин «клиент» в соответствии со статьей 4 Правил ТЭД понимается как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экспедитором.</w:t>
      </w:r>
    </w:p>
    <w:p w:rsidR="00CE58DB" w:rsidRPr="00D42B00" w:rsidRDefault="00CE58DB" w:rsidP="008A01A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Вместе с тем в соответствии с Типовыми правилами Международной Федерации экспедиторских компаний (ФИАТА), утвержденными 2 октября 1996 г. </w:t>
      </w:r>
      <w:r w:rsidRPr="00D42B00">
        <w:rPr>
          <w:sz w:val="28"/>
          <w:szCs w:val="28"/>
        </w:rPr>
        <w:br/>
        <w:t xml:space="preserve">в Каракасе, понятие «клиент» означает юридическое или физическое лицо, обладающее правами и обязанностями по договору на экспедиторское обслуживание, заключенному с экспедитором, или обладающее такими правами </w:t>
      </w:r>
      <w:r w:rsidRPr="00D42B00">
        <w:rPr>
          <w:sz w:val="28"/>
          <w:szCs w:val="28"/>
        </w:rPr>
        <w:br/>
        <w:t>и обязанностями в результате действий, связанных с предоставлением экспедиторских услуг.</w:t>
      </w:r>
    </w:p>
    <w:p w:rsidR="00CE58DB" w:rsidRPr="00D42B00" w:rsidRDefault="00CE58DB" w:rsidP="008A01A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Минэкономразвития России обращает внимание на целесообразность приведения терминологии проекта акта в соответствие с международными нормами.</w:t>
      </w:r>
    </w:p>
    <w:p w:rsidR="00CE58DB" w:rsidRPr="00D42B00" w:rsidRDefault="00CE58DB" w:rsidP="00752EDF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20.4. В статьях 1 и 4 проекта акта устанавливается, что деятельность экспедитора заключается в оказании </w:t>
      </w:r>
      <w:r w:rsidRPr="00D42B00">
        <w:rPr>
          <w:i/>
          <w:iCs/>
          <w:sz w:val="28"/>
          <w:szCs w:val="28"/>
        </w:rPr>
        <w:t>комплекса</w:t>
      </w:r>
      <w:r w:rsidRPr="00D42B00">
        <w:rPr>
          <w:sz w:val="28"/>
          <w:szCs w:val="28"/>
        </w:rPr>
        <w:t xml:space="preserve"> транспортно-экспедиторских услуг, а сами транспортно-экспедиторские услуги представляют собой </w:t>
      </w:r>
      <w:r w:rsidRPr="00D42B00">
        <w:rPr>
          <w:i/>
          <w:iCs/>
          <w:sz w:val="28"/>
          <w:szCs w:val="28"/>
        </w:rPr>
        <w:t>комплекс</w:t>
      </w:r>
      <w:r w:rsidRPr="00D42B00">
        <w:rPr>
          <w:sz w:val="28"/>
          <w:szCs w:val="28"/>
        </w:rPr>
        <w:t xml:space="preserve"> действий, направленных на организацию перевозки груза.</w:t>
      </w:r>
    </w:p>
    <w:p w:rsidR="00CE58DB" w:rsidRPr="00D42B00" w:rsidRDefault="00CE58DB" w:rsidP="00070329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пункте 7 статьи 5 проекта акта допускается возможность заключения договоров, предусматривающих оказание отдельных транспортно-экспедиторских услуг.</w:t>
      </w:r>
    </w:p>
    <w:p w:rsidR="00CE58DB" w:rsidRPr="00D42B00" w:rsidRDefault="00CE58DB" w:rsidP="00A27459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Перечень услуг, которые рассматриваются как экспедиторские услуги, установлен частью 1 пункта 2.1 статьи 164 НК РФ. Такой список услуг используется экспедиторами как единственный законодательно закрепленный. </w:t>
      </w:r>
    </w:p>
    <w:p w:rsidR="00CE58DB" w:rsidRPr="00D42B00" w:rsidRDefault="00CE58DB" w:rsidP="00752EDF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Необходимо отметить, что при организации экспедитором доставки груза одним ил</w:t>
      </w:r>
      <w:r>
        <w:rPr>
          <w:sz w:val="28"/>
          <w:szCs w:val="28"/>
        </w:rPr>
        <w:t>и несколькими видами транспорта</w:t>
      </w:r>
      <w:r w:rsidRPr="00D42B00">
        <w:rPr>
          <w:sz w:val="28"/>
          <w:szCs w:val="28"/>
        </w:rPr>
        <w:t xml:space="preserve"> может оказываться как весь комплекс услуг, выполняемых экспедитором в интересах клиента, так и часть услуг (организация доставки груза, отправления груза, приема груза, перевалки груза, </w:t>
      </w:r>
      <w:r w:rsidRPr="00D42B00">
        <w:rPr>
          <w:sz w:val="28"/>
          <w:szCs w:val="28"/>
        </w:rPr>
        <w:br/>
        <w:t>а также выполнение иных услуг, связанных с доставкой груза).</w:t>
      </w:r>
    </w:p>
    <w:p w:rsidR="00CE58DB" w:rsidRPr="00D42B00" w:rsidRDefault="00CE58DB" w:rsidP="00752E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Так, в соответствии с пунктом 1 статьи 801 ГК РФ договором транспортной экспедиции могут быть предусмотрены обязанности экспедитора организовать перевозку груза транспортом и по маршруту, определяемому экспедитором </w:t>
      </w:r>
      <w:r w:rsidRPr="00D42B00">
        <w:rPr>
          <w:sz w:val="28"/>
          <w:szCs w:val="28"/>
        </w:rPr>
        <w:br/>
        <w:t>или клиентом, обязанность экспедитора заключить от имени клиента или от своего имени договор (договоры) перевозки груза, обеспечить отправку и получение груза, а также другие обязанности, связанные с перевозкой.</w:t>
      </w:r>
    </w:p>
    <w:p w:rsidR="00CE58DB" w:rsidRPr="00D42B00" w:rsidRDefault="00CE58DB" w:rsidP="00752E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Договором транспортной экспедиции может быть также предусмотрено осуществление дополнительных услуг, необходимых для доставки груза.</w:t>
      </w:r>
    </w:p>
    <w:p w:rsidR="00CE58DB" w:rsidRPr="00D42B00" w:rsidRDefault="00CE58DB" w:rsidP="00752E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С учетом изложенного определения, установленные проектом акта, необходим</w:t>
      </w:r>
      <w:r>
        <w:rPr>
          <w:sz w:val="28"/>
          <w:szCs w:val="28"/>
        </w:rPr>
        <w:t>о привести в соответствие со статьей</w:t>
      </w:r>
      <w:r w:rsidRPr="00D42B00">
        <w:rPr>
          <w:sz w:val="28"/>
          <w:szCs w:val="28"/>
        </w:rPr>
        <w:t xml:space="preserve"> 801 ГК РФ и исключить из текста законопроекта слово «комплекс».</w:t>
      </w:r>
    </w:p>
    <w:p w:rsidR="00CE58DB" w:rsidRPr="00D42B00" w:rsidRDefault="00CE58DB" w:rsidP="0075732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21.</w:t>
      </w:r>
      <w:r w:rsidRPr="00D42B00">
        <w:rPr>
          <w:b/>
          <w:bCs/>
          <w:sz w:val="28"/>
          <w:szCs w:val="28"/>
        </w:rPr>
        <w:t xml:space="preserve"> </w:t>
      </w:r>
      <w:r w:rsidRPr="00D42B00">
        <w:rPr>
          <w:sz w:val="28"/>
          <w:szCs w:val="28"/>
        </w:rPr>
        <w:t xml:space="preserve">В соответствии со статьей 2 проекта акта Правилами ТЭД определяется перечень экспедиторских документов, необходимой информации и порядок </w:t>
      </w:r>
      <w:r w:rsidRPr="00D42B00">
        <w:rPr>
          <w:sz w:val="28"/>
          <w:szCs w:val="28"/>
        </w:rPr>
        <w:br/>
        <w:t xml:space="preserve">их выдачи. Остается неясным, что понимается под необходимой информацией </w:t>
      </w:r>
      <w:r w:rsidRPr="00D42B00">
        <w:rPr>
          <w:sz w:val="28"/>
          <w:szCs w:val="28"/>
        </w:rPr>
        <w:br/>
        <w:t xml:space="preserve">и для кого необходима такая информация. Вместе с тем порядок выдачи экспедиторских документов в Правилах ТЭД не установлен. Минэкономразвития России обращает внимание на нецелесообразность внесения изменений </w:t>
      </w:r>
      <w:r w:rsidRPr="00D42B00">
        <w:rPr>
          <w:sz w:val="28"/>
          <w:szCs w:val="28"/>
        </w:rPr>
        <w:br/>
        <w:t xml:space="preserve">в абзац 2 пункта 2 статьи 2 проекта акта без достаточного определения </w:t>
      </w:r>
      <w:r w:rsidRPr="00D42B00">
        <w:rPr>
          <w:sz w:val="28"/>
          <w:szCs w:val="28"/>
        </w:rPr>
        <w:br/>
        <w:t>их содержания.</w:t>
      </w:r>
    </w:p>
    <w:p w:rsidR="00CE58DB" w:rsidRPr="00D42B00" w:rsidRDefault="00CE58DB" w:rsidP="0075732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22. Абзацем 4 части 2 статьи 2 проекта акта закрепляется необходимость описания в Правилах ТЭД порядка оказания транспортно-экспедиторских услуг. Отмечаем, что до настоящего момента не приняты нормы, устанавливающие порядок оказания транспортно-экспедиторских услуг, транспортно-экспедиторские услуги оказываются на основании договора в соответствии с гражданским законодательством. При этом данные о проблемах</w:t>
      </w:r>
      <w:r>
        <w:rPr>
          <w:sz w:val="28"/>
          <w:szCs w:val="28"/>
        </w:rPr>
        <w:t>, связанных</w:t>
      </w:r>
      <w:r w:rsidRPr="00D42B00">
        <w:rPr>
          <w:sz w:val="28"/>
          <w:szCs w:val="28"/>
        </w:rPr>
        <w:t xml:space="preserve"> с отсутствием законодательного урегулирования порядка оказания транспортно-экспедиторских услуг, разработчиком не представлены.</w:t>
      </w:r>
    </w:p>
    <w:p w:rsidR="00CE58DB" w:rsidRPr="00D42B00" w:rsidRDefault="00CE58DB" w:rsidP="0075732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В соответствии с абзацем 5 части 2 статьи 2 проекта акта Правилами ТЭД должны устанавливаться требования к безопасности транспортно-экспедиторских услуг. Однако остается неясным, требов</w:t>
      </w:r>
      <w:r>
        <w:rPr>
          <w:sz w:val="28"/>
          <w:szCs w:val="28"/>
        </w:rPr>
        <w:t>ания к какой безопасности должны быть предусмотрены,</w:t>
      </w:r>
      <w:r w:rsidRPr="00D42B00">
        <w:rPr>
          <w:sz w:val="28"/>
          <w:szCs w:val="28"/>
        </w:rPr>
        <w:t xml:space="preserve"> ТЭД. Учитывая, что экспедиторы могут заключать с перевозчиками договоры на перевозку груза и не иметь собственного транспортного средства, все операции с грузом осуществляет перевозчик.</w:t>
      </w:r>
    </w:p>
    <w:p w:rsidR="00CE58DB" w:rsidRPr="00D42B00" w:rsidRDefault="00CE58DB" w:rsidP="00D86D2E">
      <w:pPr>
        <w:spacing w:line="360" w:lineRule="auto"/>
        <w:ind w:firstLine="70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соответствии с абзацем 6 пункта 2 статьи 2 проекта акта Правилами ТЭД должны быть определены иные особенности оказания транспортно-экспедиторских услуг по организации перевозок грузов. Отмечаем, что остается неясным, </w:t>
      </w:r>
      <w:r w:rsidRPr="00D42B00">
        <w:rPr>
          <w:sz w:val="28"/>
          <w:szCs w:val="28"/>
        </w:rPr>
        <w:br/>
        <w:t xml:space="preserve">что разработчик понимает под иными особенностями. Учитывая, что у клиента </w:t>
      </w:r>
      <w:r w:rsidRPr="00D42B00">
        <w:rPr>
          <w:sz w:val="28"/>
          <w:szCs w:val="28"/>
        </w:rPr>
        <w:br/>
        <w:t xml:space="preserve">с экспедитором отношения регламентированы гражданско-правовым договором, </w:t>
      </w:r>
      <w:r w:rsidRPr="00D42B00">
        <w:rPr>
          <w:sz w:val="28"/>
          <w:szCs w:val="28"/>
        </w:rPr>
        <w:br/>
        <w:t>и особенности предоставления транспортно-экспедиторских услуг могут быть учтены в договоре, остается неясным целесообразность дополнительного закрепления норм в нормативном правовом акте.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23. В соответствии с частью 2 статьи 3 проекта акта нормативно-правовое регулирование в сфере транспортно-экспедиторской деятельности возлагается </w:t>
      </w:r>
      <w:r w:rsidRPr="00D42B00">
        <w:rPr>
          <w:sz w:val="28"/>
          <w:szCs w:val="28"/>
        </w:rPr>
        <w:br/>
        <w:t xml:space="preserve">на федеральный орган исполнительной власти в области транспорта. 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Минэкономразвития России обращает внимание на необходимость закрепления полномочий Минтранса России в Положении о Министерстве транспорта Российской Федерации, утвержденном постановлением Правительства Российской Федерации от 30 июля 2004 г. №395.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По результатам оценки регулирующего воздействия Минэкономразвития России сделан вывод о том, что:</w:t>
      </w:r>
    </w:p>
    <w:p w:rsidR="00CE58DB" w:rsidRPr="00D42B00" w:rsidRDefault="00CE58DB" w:rsidP="0040071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2B00">
        <w:rPr>
          <w:sz w:val="28"/>
          <w:szCs w:val="28"/>
        </w:rPr>
        <w:t>наличие проблемы и целесообразность ее решения с помощью регулирования, предусмотренного проектом акта, не обоснованы;</w:t>
      </w:r>
    </w:p>
    <w:p w:rsidR="00CE58DB" w:rsidRPr="00D42B00" w:rsidRDefault="00CE58DB" w:rsidP="0040071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2B00">
        <w:rPr>
          <w:sz w:val="28"/>
          <w:szCs w:val="28"/>
        </w:rPr>
        <w:t xml:space="preserve"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16"/>
          <w:szCs w:val="16"/>
        </w:rPr>
      </w:pP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16"/>
          <w:szCs w:val="16"/>
        </w:rPr>
      </w:pPr>
    </w:p>
    <w:p w:rsidR="00CE58DB" w:rsidRPr="00D42B00" w:rsidRDefault="00CE58DB" w:rsidP="002E1A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16"/>
          <w:szCs w:val="16"/>
        </w:rPr>
      </w:pPr>
    </w:p>
    <w:p w:rsidR="00CE58DB" w:rsidRPr="00D86D2E" w:rsidRDefault="00CE58DB">
      <w:pPr>
        <w:rPr>
          <w:sz w:val="28"/>
          <w:szCs w:val="28"/>
        </w:rPr>
      </w:pPr>
      <w:r w:rsidRPr="001E79FB">
        <w:rPr>
          <w:sz w:val="18"/>
          <w:szCs w:val="18"/>
        </w:rPr>
        <w:t xml:space="preserve"> </w:t>
      </w:r>
    </w:p>
    <w:sectPr w:rsidR="00CE58DB" w:rsidRPr="00D86D2E" w:rsidSect="001674B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DB" w:rsidRDefault="00CE58DB" w:rsidP="00D86D2E">
      <w:r>
        <w:separator/>
      </w:r>
    </w:p>
  </w:endnote>
  <w:endnote w:type="continuationSeparator" w:id="0">
    <w:p w:rsidR="00CE58DB" w:rsidRDefault="00CE58DB" w:rsidP="00D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DB" w:rsidRDefault="00CE58DB" w:rsidP="00D86D2E">
      <w:r>
        <w:separator/>
      </w:r>
    </w:p>
  </w:footnote>
  <w:footnote w:type="continuationSeparator" w:id="0">
    <w:p w:rsidR="00CE58DB" w:rsidRDefault="00CE58DB" w:rsidP="00D86D2E">
      <w:r>
        <w:continuationSeparator/>
      </w:r>
    </w:p>
  </w:footnote>
  <w:footnote w:id="1">
    <w:p w:rsidR="00CE58DB" w:rsidRDefault="00CE58DB" w:rsidP="00795D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Федеральный закон от 10 января 2003 г. № 18-ФЗ «Устав железнодорожного транспорта Российской Федерации»</w:t>
      </w:r>
    </w:p>
  </w:footnote>
  <w:footnote w:id="2">
    <w:p w:rsidR="00CE58DB" w:rsidRDefault="00CE58DB" w:rsidP="00795D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Федеральный закон от 8 ноября 2007 г. № 259-ФЗ «Устав автомобильного транспорта и городского наземного электрического транспорта»</w:t>
      </w:r>
    </w:p>
  </w:footnote>
  <w:footnote w:id="3">
    <w:p w:rsidR="00CE58DB" w:rsidRDefault="00CE58DB" w:rsidP="0065310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соответствии с пунктом 5 Правил транспортно-экспедиторской деятельности, утвержденных Постановлением Правительства Российской Федерации от 8 сентября 2006 г. № 554, экспедиторскими документами являются поручение экспедитору, экспедиторская расписка и складская расписка</w:t>
      </w:r>
    </w:p>
  </w:footnote>
  <w:footnote w:id="4">
    <w:p w:rsidR="00CE58DB" w:rsidRDefault="00CE58DB" w:rsidP="00CB592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Холопов К.В., Соколова О.В. Состояние и анализ функционирования российской системы транспортно-логистического обеспечения внешнеэкономической деятельности  // Российский внешнеэкономический вестник. </w:t>
      </w:r>
      <w:r>
        <w:br/>
        <w:t>– 2015. – № 12</w:t>
      </w:r>
    </w:p>
  </w:footnote>
  <w:footnote w:id="5">
    <w:p w:rsidR="00CE58DB" w:rsidRDefault="00CE58DB" w:rsidP="00EB482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Решение Президента Российской ассоциации экспедиторских и логистических организаций от 10 января 2017 г. </w:t>
      </w:r>
      <w:r>
        <w:br/>
        <w:t>«Об утверждении Положения о Реестре экспедиторских и логистических компаний»</w:t>
      </w:r>
    </w:p>
  </w:footnote>
  <w:footnote w:id="6">
    <w:p w:rsidR="00CE58DB" w:rsidRDefault="00CE58DB" w:rsidP="00D929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Официальный сайт ТПП России </w:t>
      </w:r>
      <w:r>
        <w:rPr>
          <w:lang w:val="en-US"/>
        </w:rPr>
        <w:t>www</w:t>
      </w:r>
      <w:r w:rsidRPr="005C577C">
        <w:t>.</w:t>
      </w:r>
      <w:r>
        <w:rPr>
          <w:lang w:val="en-US"/>
        </w:rPr>
        <w:t>tpprf</w:t>
      </w:r>
      <w:r w:rsidRPr="005C577C">
        <w:t>.</w:t>
      </w:r>
      <w:r>
        <w:rPr>
          <w:lang w:val="en-US"/>
        </w:rPr>
        <w:t>ru</w:t>
      </w:r>
    </w:p>
  </w:footnote>
  <w:footnote w:id="7">
    <w:p w:rsidR="00CE58DB" w:rsidRDefault="00CE58DB" w:rsidP="00D929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Положение о порядке уплаты членских взносов, утвержденное очередным общим собранием членов ЛОТПП </w:t>
      </w:r>
      <w:r>
        <w:br/>
        <w:t>от 5 декабря 2014 г.</w:t>
      </w:r>
    </w:p>
  </w:footnote>
  <w:footnote w:id="8">
    <w:p w:rsidR="00CE58DB" w:rsidRDefault="00CE58DB" w:rsidP="00D929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Решение Правления Орловской торгово-промышленной палаты от 13 января 2012 г. «Об утверждении Положения </w:t>
      </w:r>
      <w:r>
        <w:br/>
        <w:t>о размере и порядке уплаты вступительного и ежегодного членских взносов»</w:t>
      </w:r>
    </w:p>
  </w:footnote>
  <w:footnote w:id="9">
    <w:p w:rsidR="00CE58DB" w:rsidRDefault="00CE58DB" w:rsidP="00D929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04C48">
        <w:t>Протокол</w:t>
      </w:r>
      <w:r>
        <w:t xml:space="preserve"> № 1 Правления Брянской торгово-промышленной палаты от 10 февраля 2016 г. «Об утверждении Положения о порядке и размерах уплаты членских взносов в Брянской областной торгово-промышленной палате»</w:t>
      </w:r>
    </w:p>
  </w:footnote>
  <w:footnote w:id="10">
    <w:p w:rsidR="00CE58DB" w:rsidRDefault="00CE58DB" w:rsidP="00D929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 расчете вступительного взноса за членство ТПП Брянской области в размере 20 000 рублей и платы за внесение </w:t>
      </w:r>
      <w:r>
        <w:br/>
        <w:t>в реестр в размере 10 000 рублей</w:t>
      </w:r>
    </w:p>
  </w:footnote>
  <w:footnote w:id="11">
    <w:p w:rsidR="00CE58DB" w:rsidRDefault="00CE58DB" w:rsidP="00D929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 расчете членского взноса в ТПП Брянской области в размере 20 000 рублей и платы за ведение реестра </w:t>
      </w:r>
      <w:r>
        <w:br/>
        <w:t>в размере 5 000 рублей</w:t>
      </w:r>
    </w:p>
  </w:footnote>
  <w:footnote w:id="12">
    <w:p w:rsidR="00CE58DB" w:rsidRDefault="00CE58DB" w:rsidP="00D929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</w:t>
      </w:r>
      <w:r w:rsidRPr="002B67A4">
        <w:t xml:space="preserve">т. 6 Федерального закона от 24 июля 2007 г. № 209-ФЗ «О развитии малого и среднего предпринимательства </w:t>
      </w:r>
      <w:r>
        <w:br/>
      </w:r>
      <w:r w:rsidRPr="002B67A4">
        <w:t>в Российской Федерации»</w:t>
      </w:r>
    </w:p>
  </w:footnote>
  <w:footnote w:id="13">
    <w:p w:rsidR="00CE58DB" w:rsidRDefault="00CE58DB" w:rsidP="00120F3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Приказ Министерства труда и социальной защиты Российской Федерации от 8 сентября 2014 г. № 616н </w:t>
      </w:r>
      <w:r>
        <w:br/>
        <w:t>«Об утверждении профессионального стандарта «Специалист по логистике на транспорте»</w:t>
      </w:r>
    </w:p>
  </w:footnote>
  <w:footnote w:id="14">
    <w:p w:rsidR="00CE58DB" w:rsidRDefault="00CE58DB" w:rsidP="00F33536">
      <w:pPr>
        <w:pStyle w:val="FootnoteText"/>
        <w:jc w:val="both"/>
      </w:pPr>
      <w:r>
        <w:rPr>
          <w:rStyle w:val="FootnoteReference"/>
        </w:rPr>
        <w:footnoteRef/>
      </w:r>
      <w:r>
        <w:rPr>
          <w:sz w:val="28"/>
          <w:szCs w:val="28"/>
        </w:rPr>
        <w:t xml:space="preserve"> </w:t>
      </w:r>
      <w:r w:rsidRPr="00F33536">
        <w:t>За исключением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</w:footnote>
  <w:footnote w:id="15">
    <w:p w:rsidR="00CE58DB" w:rsidRDefault="00CE58DB">
      <w:pPr>
        <w:pStyle w:val="FootnoteText"/>
      </w:pPr>
      <w:r>
        <w:rPr>
          <w:rStyle w:val="FootnoteReference"/>
        </w:rPr>
        <w:footnoteRef/>
      </w:r>
      <w:r>
        <w:t xml:space="preserve"> Подпункт 5 пункта 1.1 статьи 148 НК РФ</w:t>
      </w:r>
    </w:p>
  </w:footnote>
  <w:footnote w:id="16">
    <w:p w:rsidR="00CE58DB" w:rsidRDefault="00CE58DB" w:rsidP="00733E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Например, статья 421 ГК РФ.</w:t>
      </w:r>
    </w:p>
  </w:footnote>
  <w:footnote w:id="17">
    <w:p w:rsidR="00CE58DB" w:rsidRDefault="00CE58DB">
      <w:pPr>
        <w:pStyle w:val="FootnoteText"/>
      </w:pPr>
      <w:r>
        <w:rPr>
          <w:rStyle w:val="FootnoteReference"/>
        </w:rPr>
        <w:footnoteRef/>
      </w:r>
      <w:r>
        <w:t xml:space="preserve"> «Европейское соглашение о международной перевозке опасных грузов (ДОПОГ)» от 30 сентября 1957 г.</w:t>
      </w:r>
    </w:p>
  </w:footnote>
  <w:footnote w:id="18">
    <w:p w:rsidR="00CE58DB" w:rsidRDefault="00CE58DB">
      <w:pPr>
        <w:pStyle w:val="FootnoteText"/>
      </w:pPr>
      <w:r>
        <w:rPr>
          <w:rStyle w:val="FootnoteReference"/>
        </w:rPr>
        <w:footnoteRef/>
      </w:r>
      <w:r>
        <w:t xml:space="preserve"> Приказ Минтранса России от 24 июля 2012 г. № 258 «Об утверждении порядка выдачи специального разрешения </w:t>
      </w:r>
      <w:r>
        <w:br/>
        <w:t>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</w:footnote>
  <w:footnote w:id="19">
    <w:p w:rsidR="00CE58DB" w:rsidRDefault="00CE58DB">
      <w:pPr>
        <w:pStyle w:val="FootnoteText"/>
      </w:pPr>
      <w:r>
        <w:rPr>
          <w:rStyle w:val="FootnoteReference"/>
        </w:rPr>
        <w:footnoteRef/>
      </w:r>
      <w:r>
        <w:t xml:space="preserve"> Например, Правила ТЭД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DB" w:rsidRDefault="00CE58DB">
    <w:pPr>
      <w:pStyle w:val="Header"/>
      <w:jc w:val="center"/>
    </w:pPr>
    <w:fldSimple w:instr="PAGE   \* MERGEFORMAT">
      <w:r>
        <w:rPr>
          <w:noProof/>
        </w:rPr>
        <w:t>25</w:t>
      </w:r>
    </w:fldSimple>
  </w:p>
  <w:p w:rsidR="00CE58DB" w:rsidRDefault="00CE5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F43"/>
    <w:multiLevelType w:val="hybridMultilevel"/>
    <w:tmpl w:val="AD0C3C8A"/>
    <w:lvl w:ilvl="0" w:tplc="562EA2F2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970CA"/>
    <w:multiLevelType w:val="hybridMultilevel"/>
    <w:tmpl w:val="9C307A86"/>
    <w:lvl w:ilvl="0" w:tplc="49F22CF2">
      <w:start w:val="1"/>
      <w:numFmt w:val="decimal"/>
      <w:lvlText w:val="%1."/>
      <w:lvlJc w:val="left"/>
      <w:pPr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375"/>
    <w:multiLevelType w:val="hybridMultilevel"/>
    <w:tmpl w:val="24D45258"/>
    <w:lvl w:ilvl="0" w:tplc="A4B65A36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F41208"/>
    <w:multiLevelType w:val="hybridMultilevel"/>
    <w:tmpl w:val="E506CC1E"/>
    <w:lvl w:ilvl="0" w:tplc="E13C43BC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6733B1"/>
    <w:multiLevelType w:val="hybridMultilevel"/>
    <w:tmpl w:val="2A8A4480"/>
    <w:lvl w:ilvl="0" w:tplc="F29AC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85D01"/>
    <w:multiLevelType w:val="hybridMultilevel"/>
    <w:tmpl w:val="87AC7466"/>
    <w:lvl w:ilvl="0" w:tplc="96E0A636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6">
    <w:nsid w:val="22736007"/>
    <w:multiLevelType w:val="hybridMultilevel"/>
    <w:tmpl w:val="766EDA02"/>
    <w:lvl w:ilvl="0" w:tplc="519665E4">
      <w:start w:val="1"/>
      <w:numFmt w:val="bullet"/>
      <w:lvlText w:val=""/>
      <w:lvlJc w:val="left"/>
      <w:pPr>
        <w:ind w:firstLine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7">
    <w:nsid w:val="26E01DB3"/>
    <w:multiLevelType w:val="hybridMultilevel"/>
    <w:tmpl w:val="47920C98"/>
    <w:lvl w:ilvl="0" w:tplc="B9A223BC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firstLine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6234F1"/>
    <w:multiLevelType w:val="hybridMultilevel"/>
    <w:tmpl w:val="05363A86"/>
    <w:lvl w:ilvl="0" w:tplc="327AD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12C60"/>
    <w:multiLevelType w:val="hybridMultilevel"/>
    <w:tmpl w:val="51F6A8F2"/>
    <w:lvl w:ilvl="0" w:tplc="2196F2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57691"/>
    <w:multiLevelType w:val="hybridMultilevel"/>
    <w:tmpl w:val="BC3A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7F4395"/>
    <w:multiLevelType w:val="hybridMultilevel"/>
    <w:tmpl w:val="6082BB18"/>
    <w:lvl w:ilvl="0" w:tplc="E2127628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CC2CD1"/>
    <w:multiLevelType w:val="hybridMultilevel"/>
    <w:tmpl w:val="6324C55A"/>
    <w:lvl w:ilvl="0" w:tplc="2D706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C34997"/>
    <w:multiLevelType w:val="hybridMultilevel"/>
    <w:tmpl w:val="CD68CCBC"/>
    <w:lvl w:ilvl="0" w:tplc="EE9A4A4E">
      <w:start w:val="1"/>
      <w:numFmt w:val="bullet"/>
      <w:lvlText w:val=""/>
      <w:lvlJc w:val="left"/>
      <w:pPr>
        <w:ind w:left="1440" w:hanging="73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2741191"/>
    <w:multiLevelType w:val="hybridMultilevel"/>
    <w:tmpl w:val="6BD6899E"/>
    <w:lvl w:ilvl="0" w:tplc="BF22EAD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C644A"/>
    <w:multiLevelType w:val="hybridMultilevel"/>
    <w:tmpl w:val="4ECC7218"/>
    <w:lvl w:ilvl="0" w:tplc="49E8AF26">
      <w:start w:val="1"/>
      <w:numFmt w:val="bullet"/>
      <w:lvlText w:val=""/>
      <w:lvlJc w:val="left"/>
      <w:pPr>
        <w:ind w:left="709" w:hanging="352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9656387"/>
    <w:multiLevelType w:val="hybridMultilevel"/>
    <w:tmpl w:val="52A03CB0"/>
    <w:lvl w:ilvl="0" w:tplc="52C24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E52330"/>
    <w:multiLevelType w:val="hybridMultilevel"/>
    <w:tmpl w:val="20D6FD34"/>
    <w:lvl w:ilvl="0" w:tplc="96E0A6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8"/>
  </w:num>
  <w:num w:numId="12">
    <w:abstractNumId w:val="10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96A"/>
    <w:rsid w:val="000006EE"/>
    <w:rsid w:val="00000E60"/>
    <w:rsid w:val="000077B6"/>
    <w:rsid w:val="00012D20"/>
    <w:rsid w:val="00016E33"/>
    <w:rsid w:val="00021E32"/>
    <w:rsid w:val="00022947"/>
    <w:rsid w:val="00023A08"/>
    <w:rsid w:val="00033A72"/>
    <w:rsid w:val="00034298"/>
    <w:rsid w:val="00037F12"/>
    <w:rsid w:val="00041F36"/>
    <w:rsid w:val="000438B4"/>
    <w:rsid w:val="000469B2"/>
    <w:rsid w:val="00047CC7"/>
    <w:rsid w:val="000517E5"/>
    <w:rsid w:val="00051C6B"/>
    <w:rsid w:val="00057878"/>
    <w:rsid w:val="00064105"/>
    <w:rsid w:val="00070329"/>
    <w:rsid w:val="0008448F"/>
    <w:rsid w:val="000956E5"/>
    <w:rsid w:val="0009607A"/>
    <w:rsid w:val="000963D4"/>
    <w:rsid w:val="000966B1"/>
    <w:rsid w:val="000A16BF"/>
    <w:rsid w:val="000B2A50"/>
    <w:rsid w:val="000B501C"/>
    <w:rsid w:val="000C1408"/>
    <w:rsid w:val="000C601D"/>
    <w:rsid w:val="000D0ADE"/>
    <w:rsid w:val="000D1EBD"/>
    <w:rsid w:val="000D46B3"/>
    <w:rsid w:val="000E098E"/>
    <w:rsid w:val="000E4862"/>
    <w:rsid w:val="00120F32"/>
    <w:rsid w:val="00121183"/>
    <w:rsid w:val="00123B92"/>
    <w:rsid w:val="00124983"/>
    <w:rsid w:val="001271B6"/>
    <w:rsid w:val="00130B32"/>
    <w:rsid w:val="001355E7"/>
    <w:rsid w:val="00135752"/>
    <w:rsid w:val="00140EE3"/>
    <w:rsid w:val="00141A1F"/>
    <w:rsid w:val="001533E0"/>
    <w:rsid w:val="00160A26"/>
    <w:rsid w:val="001612E7"/>
    <w:rsid w:val="00164CCF"/>
    <w:rsid w:val="00164D13"/>
    <w:rsid w:val="00166A45"/>
    <w:rsid w:val="001674B8"/>
    <w:rsid w:val="001703CD"/>
    <w:rsid w:val="00172EE3"/>
    <w:rsid w:val="00174BA6"/>
    <w:rsid w:val="0017711A"/>
    <w:rsid w:val="00177523"/>
    <w:rsid w:val="001802EA"/>
    <w:rsid w:val="00195EA9"/>
    <w:rsid w:val="00196D17"/>
    <w:rsid w:val="001A6106"/>
    <w:rsid w:val="001B2660"/>
    <w:rsid w:val="001B5082"/>
    <w:rsid w:val="001B5725"/>
    <w:rsid w:val="001B6B07"/>
    <w:rsid w:val="001B6FB6"/>
    <w:rsid w:val="001C2D32"/>
    <w:rsid w:val="001C3FC3"/>
    <w:rsid w:val="001C7613"/>
    <w:rsid w:val="001C7F5F"/>
    <w:rsid w:val="001D0088"/>
    <w:rsid w:val="001D3315"/>
    <w:rsid w:val="001D52D7"/>
    <w:rsid w:val="001E4FD9"/>
    <w:rsid w:val="001E6FDB"/>
    <w:rsid w:val="001E79FB"/>
    <w:rsid w:val="001F0E9B"/>
    <w:rsid w:val="002003B7"/>
    <w:rsid w:val="00201E9A"/>
    <w:rsid w:val="00202EE9"/>
    <w:rsid w:val="00204BAE"/>
    <w:rsid w:val="00204C48"/>
    <w:rsid w:val="002164B1"/>
    <w:rsid w:val="002171E5"/>
    <w:rsid w:val="00217207"/>
    <w:rsid w:val="002207B2"/>
    <w:rsid w:val="00224256"/>
    <w:rsid w:val="002260B4"/>
    <w:rsid w:val="00226BE0"/>
    <w:rsid w:val="002272C7"/>
    <w:rsid w:val="00233669"/>
    <w:rsid w:val="00233DCC"/>
    <w:rsid w:val="00240A7B"/>
    <w:rsid w:val="00242768"/>
    <w:rsid w:val="002458A8"/>
    <w:rsid w:val="0024700C"/>
    <w:rsid w:val="00251DDE"/>
    <w:rsid w:val="002520C7"/>
    <w:rsid w:val="0025392B"/>
    <w:rsid w:val="00256780"/>
    <w:rsid w:val="002568CC"/>
    <w:rsid w:val="00257687"/>
    <w:rsid w:val="002606E9"/>
    <w:rsid w:val="00260B70"/>
    <w:rsid w:val="00261009"/>
    <w:rsid w:val="00261A75"/>
    <w:rsid w:val="0026462C"/>
    <w:rsid w:val="0026679D"/>
    <w:rsid w:val="00272EED"/>
    <w:rsid w:val="00276144"/>
    <w:rsid w:val="002918FF"/>
    <w:rsid w:val="00292F47"/>
    <w:rsid w:val="002A4B4D"/>
    <w:rsid w:val="002B1125"/>
    <w:rsid w:val="002B1F1C"/>
    <w:rsid w:val="002B67A4"/>
    <w:rsid w:val="002C2AC2"/>
    <w:rsid w:val="002C38EB"/>
    <w:rsid w:val="002C686F"/>
    <w:rsid w:val="002D239A"/>
    <w:rsid w:val="002E0C61"/>
    <w:rsid w:val="002E1A13"/>
    <w:rsid w:val="002E1ECD"/>
    <w:rsid w:val="002E2C47"/>
    <w:rsid w:val="002F4C07"/>
    <w:rsid w:val="002F591D"/>
    <w:rsid w:val="00311A1F"/>
    <w:rsid w:val="00320530"/>
    <w:rsid w:val="00321150"/>
    <w:rsid w:val="00321645"/>
    <w:rsid w:val="00322E35"/>
    <w:rsid w:val="0033490D"/>
    <w:rsid w:val="00334DCD"/>
    <w:rsid w:val="003409B2"/>
    <w:rsid w:val="0034138C"/>
    <w:rsid w:val="0034252D"/>
    <w:rsid w:val="003451E3"/>
    <w:rsid w:val="0035054A"/>
    <w:rsid w:val="00351AB1"/>
    <w:rsid w:val="00355BD8"/>
    <w:rsid w:val="00357626"/>
    <w:rsid w:val="0036672A"/>
    <w:rsid w:val="00367784"/>
    <w:rsid w:val="00383116"/>
    <w:rsid w:val="0038751A"/>
    <w:rsid w:val="00387769"/>
    <w:rsid w:val="00387E49"/>
    <w:rsid w:val="0039560E"/>
    <w:rsid w:val="00397622"/>
    <w:rsid w:val="003A341C"/>
    <w:rsid w:val="003B73DF"/>
    <w:rsid w:val="003C2E67"/>
    <w:rsid w:val="003C4E90"/>
    <w:rsid w:val="003C6488"/>
    <w:rsid w:val="003C65A2"/>
    <w:rsid w:val="003D02AE"/>
    <w:rsid w:val="003D52CF"/>
    <w:rsid w:val="003E10DE"/>
    <w:rsid w:val="003E2534"/>
    <w:rsid w:val="003E7650"/>
    <w:rsid w:val="003F2095"/>
    <w:rsid w:val="003F3776"/>
    <w:rsid w:val="003F754C"/>
    <w:rsid w:val="00400711"/>
    <w:rsid w:val="00404CC3"/>
    <w:rsid w:val="004168AD"/>
    <w:rsid w:val="00424FE1"/>
    <w:rsid w:val="00430CBE"/>
    <w:rsid w:val="00431920"/>
    <w:rsid w:val="00433DC5"/>
    <w:rsid w:val="0043559A"/>
    <w:rsid w:val="00435747"/>
    <w:rsid w:val="00435BFF"/>
    <w:rsid w:val="00440CB8"/>
    <w:rsid w:val="00447745"/>
    <w:rsid w:val="00460A1E"/>
    <w:rsid w:val="00461DCA"/>
    <w:rsid w:val="004628E5"/>
    <w:rsid w:val="00463796"/>
    <w:rsid w:val="00467D3B"/>
    <w:rsid w:val="00475C6D"/>
    <w:rsid w:val="00487471"/>
    <w:rsid w:val="00490ACF"/>
    <w:rsid w:val="00493982"/>
    <w:rsid w:val="004A220C"/>
    <w:rsid w:val="004B02D2"/>
    <w:rsid w:val="004B1109"/>
    <w:rsid w:val="004B2A23"/>
    <w:rsid w:val="004B43C9"/>
    <w:rsid w:val="004C1083"/>
    <w:rsid w:val="004C1B81"/>
    <w:rsid w:val="004C40DF"/>
    <w:rsid w:val="004C4BFD"/>
    <w:rsid w:val="004C55A6"/>
    <w:rsid w:val="004D463F"/>
    <w:rsid w:val="004D5305"/>
    <w:rsid w:val="004E7545"/>
    <w:rsid w:val="004F38CE"/>
    <w:rsid w:val="004F4FAF"/>
    <w:rsid w:val="004F516B"/>
    <w:rsid w:val="004F54DA"/>
    <w:rsid w:val="005055C6"/>
    <w:rsid w:val="00516375"/>
    <w:rsid w:val="00516F22"/>
    <w:rsid w:val="00517A1A"/>
    <w:rsid w:val="00523A45"/>
    <w:rsid w:val="00525DBF"/>
    <w:rsid w:val="00535F04"/>
    <w:rsid w:val="00540A9A"/>
    <w:rsid w:val="00543409"/>
    <w:rsid w:val="005449EE"/>
    <w:rsid w:val="00554D39"/>
    <w:rsid w:val="00555892"/>
    <w:rsid w:val="00566F82"/>
    <w:rsid w:val="00572766"/>
    <w:rsid w:val="00573358"/>
    <w:rsid w:val="0057780D"/>
    <w:rsid w:val="00582DA3"/>
    <w:rsid w:val="00587362"/>
    <w:rsid w:val="005A4D99"/>
    <w:rsid w:val="005A7194"/>
    <w:rsid w:val="005B1D67"/>
    <w:rsid w:val="005B559C"/>
    <w:rsid w:val="005C1695"/>
    <w:rsid w:val="005C16D7"/>
    <w:rsid w:val="005C1985"/>
    <w:rsid w:val="005C577C"/>
    <w:rsid w:val="005E1B95"/>
    <w:rsid w:val="005E736D"/>
    <w:rsid w:val="005F7CA7"/>
    <w:rsid w:val="006042AB"/>
    <w:rsid w:val="00611599"/>
    <w:rsid w:val="00612C58"/>
    <w:rsid w:val="006167D5"/>
    <w:rsid w:val="00616FBD"/>
    <w:rsid w:val="006224D8"/>
    <w:rsid w:val="00653107"/>
    <w:rsid w:val="00661668"/>
    <w:rsid w:val="00662C03"/>
    <w:rsid w:val="006649B0"/>
    <w:rsid w:val="00667829"/>
    <w:rsid w:val="0069705D"/>
    <w:rsid w:val="00697F46"/>
    <w:rsid w:val="006A6E50"/>
    <w:rsid w:val="006C3707"/>
    <w:rsid w:val="006D035D"/>
    <w:rsid w:val="006D6930"/>
    <w:rsid w:val="006D6AD9"/>
    <w:rsid w:val="006E674F"/>
    <w:rsid w:val="006F01D4"/>
    <w:rsid w:val="006F1676"/>
    <w:rsid w:val="006F25CD"/>
    <w:rsid w:val="006F6577"/>
    <w:rsid w:val="006F72EE"/>
    <w:rsid w:val="006F7E28"/>
    <w:rsid w:val="00700EED"/>
    <w:rsid w:val="00707BCE"/>
    <w:rsid w:val="00707E29"/>
    <w:rsid w:val="007138AE"/>
    <w:rsid w:val="00715EBD"/>
    <w:rsid w:val="0073071F"/>
    <w:rsid w:val="00730CE3"/>
    <w:rsid w:val="0073170D"/>
    <w:rsid w:val="00732507"/>
    <w:rsid w:val="00733EFD"/>
    <w:rsid w:val="0073717A"/>
    <w:rsid w:val="007373E4"/>
    <w:rsid w:val="00744783"/>
    <w:rsid w:val="00745776"/>
    <w:rsid w:val="00745A4D"/>
    <w:rsid w:val="007465E7"/>
    <w:rsid w:val="00752EDF"/>
    <w:rsid w:val="007545D0"/>
    <w:rsid w:val="00757326"/>
    <w:rsid w:val="0075798C"/>
    <w:rsid w:val="00764BB6"/>
    <w:rsid w:val="00764DBB"/>
    <w:rsid w:val="00766611"/>
    <w:rsid w:val="00773D0B"/>
    <w:rsid w:val="00782849"/>
    <w:rsid w:val="0078318C"/>
    <w:rsid w:val="00783A0E"/>
    <w:rsid w:val="00786519"/>
    <w:rsid w:val="00791446"/>
    <w:rsid w:val="00795DFD"/>
    <w:rsid w:val="007A0BB8"/>
    <w:rsid w:val="007A2B95"/>
    <w:rsid w:val="007B41F0"/>
    <w:rsid w:val="007C09F6"/>
    <w:rsid w:val="007C34D2"/>
    <w:rsid w:val="007C4AF0"/>
    <w:rsid w:val="007C5ED4"/>
    <w:rsid w:val="007D03EC"/>
    <w:rsid w:val="007D0B7C"/>
    <w:rsid w:val="007D2993"/>
    <w:rsid w:val="007D3989"/>
    <w:rsid w:val="007E4E03"/>
    <w:rsid w:val="007E5BBA"/>
    <w:rsid w:val="007F3B91"/>
    <w:rsid w:val="007F4D65"/>
    <w:rsid w:val="0080058E"/>
    <w:rsid w:val="0081086C"/>
    <w:rsid w:val="00815E24"/>
    <w:rsid w:val="00816264"/>
    <w:rsid w:val="00823955"/>
    <w:rsid w:val="0082575F"/>
    <w:rsid w:val="00831DEB"/>
    <w:rsid w:val="0084038E"/>
    <w:rsid w:val="00840FE4"/>
    <w:rsid w:val="0084251C"/>
    <w:rsid w:val="00852D03"/>
    <w:rsid w:val="008532A1"/>
    <w:rsid w:val="00857B36"/>
    <w:rsid w:val="00860023"/>
    <w:rsid w:val="00863CD0"/>
    <w:rsid w:val="00866141"/>
    <w:rsid w:val="00870258"/>
    <w:rsid w:val="00871FCF"/>
    <w:rsid w:val="00873334"/>
    <w:rsid w:val="0087618B"/>
    <w:rsid w:val="00880310"/>
    <w:rsid w:val="008843FF"/>
    <w:rsid w:val="008872E8"/>
    <w:rsid w:val="0088741C"/>
    <w:rsid w:val="00887B46"/>
    <w:rsid w:val="00892004"/>
    <w:rsid w:val="008929F6"/>
    <w:rsid w:val="008937BC"/>
    <w:rsid w:val="008A01A4"/>
    <w:rsid w:val="008A0238"/>
    <w:rsid w:val="008A1A3A"/>
    <w:rsid w:val="008A5E63"/>
    <w:rsid w:val="008A6563"/>
    <w:rsid w:val="008C1A01"/>
    <w:rsid w:val="008C2EC1"/>
    <w:rsid w:val="008D4CDE"/>
    <w:rsid w:val="008D5C16"/>
    <w:rsid w:val="008E0197"/>
    <w:rsid w:val="008E5012"/>
    <w:rsid w:val="008F0E3D"/>
    <w:rsid w:val="008F557A"/>
    <w:rsid w:val="008F74E4"/>
    <w:rsid w:val="00904146"/>
    <w:rsid w:val="0090451D"/>
    <w:rsid w:val="00914BB4"/>
    <w:rsid w:val="009174AA"/>
    <w:rsid w:val="009255B6"/>
    <w:rsid w:val="009321C1"/>
    <w:rsid w:val="00932E01"/>
    <w:rsid w:val="00934A9C"/>
    <w:rsid w:val="00956267"/>
    <w:rsid w:val="009818FB"/>
    <w:rsid w:val="0098574A"/>
    <w:rsid w:val="009906B9"/>
    <w:rsid w:val="009906C6"/>
    <w:rsid w:val="009A227A"/>
    <w:rsid w:val="009B223B"/>
    <w:rsid w:val="009B5790"/>
    <w:rsid w:val="009B66A3"/>
    <w:rsid w:val="009C224B"/>
    <w:rsid w:val="009C5244"/>
    <w:rsid w:val="009C6949"/>
    <w:rsid w:val="009D233E"/>
    <w:rsid w:val="009E2DD1"/>
    <w:rsid w:val="009E73DB"/>
    <w:rsid w:val="009F2EC5"/>
    <w:rsid w:val="00A00695"/>
    <w:rsid w:val="00A00F42"/>
    <w:rsid w:val="00A06EAE"/>
    <w:rsid w:val="00A1493E"/>
    <w:rsid w:val="00A17491"/>
    <w:rsid w:val="00A17F87"/>
    <w:rsid w:val="00A24D94"/>
    <w:rsid w:val="00A27459"/>
    <w:rsid w:val="00A274A3"/>
    <w:rsid w:val="00A27B43"/>
    <w:rsid w:val="00A30F3D"/>
    <w:rsid w:val="00A33FD0"/>
    <w:rsid w:val="00A3796A"/>
    <w:rsid w:val="00A41275"/>
    <w:rsid w:val="00A42388"/>
    <w:rsid w:val="00A438DC"/>
    <w:rsid w:val="00A43D9D"/>
    <w:rsid w:val="00A5279C"/>
    <w:rsid w:val="00A63308"/>
    <w:rsid w:val="00A63576"/>
    <w:rsid w:val="00A64353"/>
    <w:rsid w:val="00A674C9"/>
    <w:rsid w:val="00A679A2"/>
    <w:rsid w:val="00A768D8"/>
    <w:rsid w:val="00A80F1D"/>
    <w:rsid w:val="00A80F28"/>
    <w:rsid w:val="00A81197"/>
    <w:rsid w:val="00A900CB"/>
    <w:rsid w:val="00A90B4F"/>
    <w:rsid w:val="00A97734"/>
    <w:rsid w:val="00AA528D"/>
    <w:rsid w:val="00AA71D2"/>
    <w:rsid w:val="00AB104E"/>
    <w:rsid w:val="00AB63C7"/>
    <w:rsid w:val="00AB6E1E"/>
    <w:rsid w:val="00AB7AC0"/>
    <w:rsid w:val="00AC01D2"/>
    <w:rsid w:val="00AC3D37"/>
    <w:rsid w:val="00AC649B"/>
    <w:rsid w:val="00AD302D"/>
    <w:rsid w:val="00AD4621"/>
    <w:rsid w:val="00AD683F"/>
    <w:rsid w:val="00AE292A"/>
    <w:rsid w:val="00AE2CF2"/>
    <w:rsid w:val="00B00B4B"/>
    <w:rsid w:val="00B051E0"/>
    <w:rsid w:val="00B07BAD"/>
    <w:rsid w:val="00B11378"/>
    <w:rsid w:val="00B13712"/>
    <w:rsid w:val="00B14AE3"/>
    <w:rsid w:val="00B1518D"/>
    <w:rsid w:val="00B167DA"/>
    <w:rsid w:val="00B32977"/>
    <w:rsid w:val="00B3596B"/>
    <w:rsid w:val="00B53D8B"/>
    <w:rsid w:val="00B55A9E"/>
    <w:rsid w:val="00B60C6E"/>
    <w:rsid w:val="00B635E6"/>
    <w:rsid w:val="00B64F1A"/>
    <w:rsid w:val="00B66AF7"/>
    <w:rsid w:val="00B735E7"/>
    <w:rsid w:val="00B77B64"/>
    <w:rsid w:val="00B80295"/>
    <w:rsid w:val="00B835D4"/>
    <w:rsid w:val="00B87BA6"/>
    <w:rsid w:val="00B87DF0"/>
    <w:rsid w:val="00B958E8"/>
    <w:rsid w:val="00BA0E1B"/>
    <w:rsid w:val="00BA1ED1"/>
    <w:rsid w:val="00BA476F"/>
    <w:rsid w:val="00BB002E"/>
    <w:rsid w:val="00BC0AC4"/>
    <w:rsid w:val="00BC1597"/>
    <w:rsid w:val="00BC272F"/>
    <w:rsid w:val="00BC2C53"/>
    <w:rsid w:val="00BD652B"/>
    <w:rsid w:val="00BD7BEC"/>
    <w:rsid w:val="00BE5E9C"/>
    <w:rsid w:val="00BF09C1"/>
    <w:rsid w:val="00BF31DF"/>
    <w:rsid w:val="00BF502E"/>
    <w:rsid w:val="00BF57DF"/>
    <w:rsid w:val="00C02D5B"/>
    <w:rsid w:val="00C10FF5"/>
    <w:rsid w:val="00C14023"/>
    <w:rsid w:val="00C20392"/>
    <w:rsid w:val="00C25C97"/>
    <w:rsid w:val="00C32D4E"/>
    <w:rsid w:val="00C33678"/>
    <w:rsid w:val="00C42015"/>
    <w:rsid w:val="00C470AD"/>
    <w:rsid w:val="00C63E6D"/>
    <w:rsid w:val="00C6788C"/>
    <w:rsid w:val="00C70498"/>
    <w:rsid w:val="00C709EE"/>
    <w:rsid w:val="00C770BA"/>
    <w:rsid w:val="00C777EF"/>
    <w:rsid w:val="00C91CD9"/>
    <w:rsid w:val="00C949FC"/>
    <w:rsid w:val="00C96404"/>
    <w:rsid w:val="00CA11AF"/>
    <w:rsid w:val="00CA39C7"/>
    <w:rsid w:val="00CA569F"/>
    <w:rsid w:val="00CB0EA5"/>
    <w:rsid w:val="00CB3246"/>
    <w:rsid w:val="00CB35CD"/>
    <w:rsid w:val="00CB5922"/>
    <w:rsid w:val="00CB7AEA"/>
    <w:rsid w:val="00CC1A4C"/>
    <w:rsid w:val="00CC31AF"/>
    <w:rsid w:val="00CC3D49"/>
    <w:rsid w:val="00CE58DB"/>
    <w:rsid w:val="00CE6682"/>
    <w:rsid w:val="00CF1AC5"/>
    <w:rsid w:val="00CF2A03"/>
    <w:rsid w:val="00CF6E7A"/>
    <w:rsid w:val="00CF7134"/>
    <w:rsid w:val="00D01EFE"/>
    <w:rsid w:val="00D05CE1"/>
    <w:rsid w:val="00D06CC1"/>
    <w:rsid w:val="00D079DC"/>
    <w:rsid w:val="00D101B3"/>
    <w:rsid w:val="00D17416"/>
    <w:rsid w:val="00D27244"/>
    <w:rsid w:val="00D3033F"/>
    <w:rsid w:val="00D3106D"/>
    <w:rsid w:val="00D412D2"/>
    <w:rsid w:val="00D421A0"/>
    <w:rsid w:val="00D42B00"/>
    <w:rsid w:val="00D46CD0"/>
    <w:rsid w:val="00D529A7"/>
    <w:rsid w:val="00D62F4E"/>
    <w:rsid w:val="00D63169"/>
    <w:rsid w:val="00D700D9"/>
    <w:rsid w:val="00D73555"/>
    <w:rsid w:val="00D81F28"/>
    <w:rsid w:val="00D837FB"/>
    <w:rsid w:val="00D86D2E"/>
    <w:rsid w:val="00D87DD9"/>
    <w:rsid w:val="00D91B13"/>
    <w:rsid w:val="00D929A7"/>
    <w:rsid w:val="00D97D45"/>
    <w:rsid w:val="00DA207C"/>
    <w:rsid w:val="00DA5CEF"/>
    <w:rsid w:val="00DB0107"/>
    <w:rsid w:val="00DD2764"/>
    <w:rsid w:val="00DD43B2"/>
    <w:rsid w:val="00DD5E91"/>
    <w:rsid w:val="00DD632E"/>
    <w:rsid w:val="00DE06A6"/>
    <w:rsid w:val="00DE0E77"/>
    <w:rsid w:val="00DE7A77"/>
    <w:rsid w:val="00DF1CC6"/>
    <w:rsid w:val="00E00436"/>
    <w:rsid w:val="00E0077D"/>
    <w:rsid w:val="00E01859"/>
    <w:rsid w:val="00E01BBA"/>
    <w:rsid w:val="00E1199B"/>
    <w:rsid w:val="00E11FBE"/>
    <w:rsid w:val="00E22F1F"/>
    <w:rsid w:val="00E300AA"/>
    <w:rsid w:val="00E35D4F"/>
    <w:rsid w:val="00E46E5A"/>
    <w:rsid w:val="00E47EF4"/>
    <w:rsid w:val="00E51B3D"/>
    <w:rsid w:val="00E547E4"/>
    <w:rsid w:val="00E55C3E"/>
    <w:rsid w:val="00E60632"/>
    <w:rsid w:val="00E62279"/>
    <w:rsid w:val="00E632C1"/>
    <w:rsid w:val="00E67009"/>
    <w:rsid w:val="00E70FB9"/>
    <w:rsid w:val="00E72931"/>
    <w:rsid w:val="00E7303B"/>
    <w:rsid w:val="00E831FE"/>
    <w:rsid w:val="00E87197"/>
    <w:rsid w:val="00E875B5"/>
    <w:rsid w:val="00E9225E"/>
    <w:rsid w:val="00E94DD0"/>
    <w:rsid w:val="00EB1DDB"/>
    <w:rsid w:val="00EB339A"/>
    <w:rsid w:val="00EB482F"/>
    <w:rsid w:val="00EC61E4"/>
    <w:rsid w:val="00ED41CB"/>
    <w:rsid w:val="00EE2997"/>
    <w:rsid w:val="00EE39A5"/>
    <w:rsid w:val="00EF650C"/>
    <w:rsid w:val="00F04333"/>
    <w:rsid w:val="00F04A66"/>
    <w:rsid w:val="00F13C7B"/>
    <w:rsid w:val="00F14A77"/>
    <w:rsid w:val="00F15BBB"/>
    <w:rsid w:val="00F25301"/>
    <w:rsid w:val="00F269B5"/>
    <w:rsid w:val="00F33536"/>
    <w:rsid w:val="00F33A72"/>
    <w:rsid w:val="00F33CA5"/>
    <w:rsid w:val="00F400D2"/>
    <w:rsid w:val="00F465C8"/>
    <w:rsid w:val="00F46DA4"/>
    <w:rsid w:val="00F51CA1"/>
    <w:rsid w:val="00F62803"/>
    <w:rsid w:val="00F6305D"/>
    <w:rsid w:val="00F71134"/>
    <w:rsid w:val="00F82074"/>
    <w:rsid w:val="00F90880"/>
    <w:rsid w:val="00F90D18"/>
    <w:rsid w:val="00F92989"/>
    <w:rsid w:val="00F93ACA"/>
    <w:rsid w:val="00FA3336"/>
    <w:rsid w:val="00FA42B1"/>
    <w:rsid w:val="00FA7879"/>
    <w:rsid w:val="00FA7D08"/>
    <w:rsid w:val="00FC2F69"/>
    <w:rsid w:val="00FC70FF"/>
    <w:rsid w:val="00FD1F54"/>
    <w:rsid w:val="00FD5C5B"/>
    <w:rsid w:val="00FD7302"/>
    <w:rsid w:val="00FE052B"/>
    <w:rsid w:val="00FE06CB"/>
    <w:rsid w:val="00FE5EFD"/>
    <w:rsid w:val="00FF160D"/>
    <w:rsid w:val="00FF1B0C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D2E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6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6D2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6D2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D2E"/>
    <w:rPr>
      <w:rFonts w:ascii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99"/>
    <w:qFormat/>
    <w:rsid w:val="00F93A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1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8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Normal"/>
    <w:uiPriority w:val="99"/>
    <w:rsid w:val="00544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0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204B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4BAE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1271B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C5BD13F977B5CD792F84041161C9A20DAF8A9D3D852F4CA83451F3E7217C70A6A1D2959B60190MFh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25</Pages>
  <Words>6714</Words>
  <Characters>-32766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2928-СШ/Д26и от 07</dc:title>
  <dc:subject/>
  <dc:creator>Дарьина Юлия Алексеевна</dc:creator>
  <cp:keywords/>
  <dc:description/>
  <cp:lastModifiedBy>Image-ПК</cp:lastModifiedBy>
  <cp:revision>2</cp:revision>
  <cp:lastPrinted>2017-02-07T13:35:00Z</cp:lastPrinted>
  <dcterms:created xsi:type="dcterms:W3CDTF">2017-02-09T13:14:00Z</dcterms:created>
  <dcterms:modified xsi:type="dcterms:W3CDTF">2017-02-09T13:14:00Z</dcterms:modified>
</cp:coreProperties>
</file>