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95" w:rsidRPr="00765F94" w:rsidRDefault="00A83995" w:rsidP="00EA4F00">
      <w:pPr>
        <w:jc w:val="center"/>
        <w:rPr>
          <w:b/>
        </w:rPr>
      </w:pPr>
      <w:r w:rsidRPr="00765F94">
        <w:rPr>
          <w:b/>
        </w:rPr>
        <w:t>Краткий о</w:t>
      </w:r>
      <w:r w:rsidR="00B0134B" w:rsidRPr="00765F94">
        <w:rPr>
          <w:b/>
        </w:rPr>
        <w:t xml:space="preserve">бзор результатов </w:t>
      </w:r>
      <w:r w:rsidRPr="00765F94">
        <w:rPr>
          <w:b/>
        </w:rPr>
        <w:t xml:space="preserve">ОРВ, экспертизы и ОФВ </w:t>
      </w:r>
    </w:p>
    <w:p w:rsidR="009358DD" w:rsidRPr="00765F94" w:rsidRDefault="00A83995" w:rsidP="00EA4F00">
      <w:pPr>
        <w:jc w:val="center"/>
        <w:rPr>
          <w:b/>
        </w:rPr>
      </w:pPr>
      <w:r w:rsidRPr="00765F94">
        <w:rPr>
          <w:b/>
        </w:rPr>
        <w:t xml:space="preserve">за </w:t>
      </w:r>
      <w:r w:rsidR="00495412">
        <w:rPr>
          <w:b/>
        </w:rPr>
        <w:t>1 полугодие</w:t>
      </w:r>
      <w:r w:rsidR="007C6181" w:rsidRPr="00765F94">
        <w:rPr>
          <w:b/>
        </w:rPr>
        <w:t xml:space="preserve"> 2018 года</w:t>
      </w:r>
      <w:r w:rsidRPr="00765F94">
        <w:rPr>
          <w:b/>
        </w:rPr>
        <w:t xml:space="preserve"> </w:t>
      </w:r>
    </w:p>
    <w:p w:rsidR="00E942CB" w:rsidRPr="00765F94" w:rsidRDefault="00E942CB" w:rsidP="00FF4C33">
      <w:pPr>
        <w:spacing w:line="360" w:lineRule="auto"/>
      </w:pPr>
    </w:p>
    <w:p w:rsidR="008B3ED9" w:rsidRPr="00765F94" w:rsidRDefault="00E942CB" w:rsidP="00EA4F00">
      <w:pPr>
        <w:spacing w:line="312" w:lineRule="auto"/>
        <w:jc w:val="both"/>
        <w:rPr>
          <w:rFonts w:eastAsia="Times New Roman"/>
          <w:lang w:eastAsia="ru-RU"/>
        </w:rPr>
      </w:pPr>
      <w:r w:rsidRPr="00765F94">
        <w:tab/>
      </w:r>
      <w:r w:rsidR="008B3ED9" w:rsidRPr="00765F94">
        <w:rPr>
          <w:rFonts w:eastAsia="Times New Roman"/>
          <w:lang w:eastAsia="ru-RU"/>
        </w:rPr>
        <w:t>Департамент экономического развития Ханты-Мансийского автономного округа</w:t>
      </w:r>
      <w:r w:rsidR="00A83995" w:rsidRPr="00765F94">
        <w:rPr>
          <w:rFonts w:eastAsia="Times New Roman"/>
          <w:lang w:eastAsia="ru-RU"/>
        </w:rPr>
        <w:t xml:space="preserve"> – Югры </w:t>
      </w:r>
      <w:r w:rsidR="008B3ED9" w:rsidRPr="00765F94">
        <w:rPr>
          <w:rFonts w:eastAsia="Times New Roman"/>
          <w:lang w:eastAsia="ru-RU"/>
        </w:rPr>
        <w:t xml:space="preserve">подвел итоги проведения </w:t>
      </w:r>
      <w:r w:rsidR="001E452B" w:rsidRPr="00765F94">
        <w:rPr>
          <w:rFonts w:eastAsia="Times New Roman"/>
          <w:lang w:eastAsia="ru-RU"/>
        </w:rPr>
        <w:t>оценки регулирующего воздействия</w:t>
      </w:r>
      <w:r w:rsidR="008B3ED9" w:rsidRPr="00765F94">
        <w:rPr>
          <w:rFonts w:eastAsia="Times New Roman"/>
          <w:lang w:eastAsia="ru-RU"/>
        </w:rPr>
        <w:t xml:space="preserve">, экспертизы и </w:t>
      </w:r>
      <w:r w:rsidR="001E452B" w:rsidRPr="00765F94">
        <w:rPr>
          <w:rFonts w:eastAsia="Times New Roman"/>
          <w:lang w:eastAsia="ru-RU"/>
        </w:rPr>
        <w:t xml:space="preserve">оценки фактического воздействия </w:t>
      </w:r>
      <w:r w:rsidR="008B3ED9" w:rsidRPr="00765F94">
        <w:rPr>
          <w:rFonts w:eastAsia="Times New Roman"/>
          <w:lang w:eastAsia="ru-RU"/>
        </w:rPr>
        <w:t xml:space="preserve">за </w:t>
      </w:r>
      <w:r w:rsidR="00495412">
        <w:rPr>
          <w:rFonts w:eastAsia="Times New Roman"/>
          <w:lang w:eastAsia="ru-RU"/>
        </w:rPr>
        <w:t xml:space="preserve">1 полугодие 2018 </w:t>
      </w:r>
      <w:r w:rsidR="008B3ED9" w:rsidRPr="00765F94">
        <w:rPr>
          <w:rFonts w:eastAsia="Times New Roman"/>
          <w:lang w:eastAsia="ru-RU"/>
        </w:rPr>
        <w:t>год</w:t>
      </w:r>
      <w:r w:rsidR="0050654E" w:rsidRPr="00765F94">
        <w:rPr>
          <w:rFonts w:eastAsia="Times New Roman"/>
          <w:lang w:eastAsia="ru-RU"/>
        </w:rPr>
        <w:t>а</w:t>
      </w:r>
      <w:r w:rsidR="008B3ED9" w:rsidRPr="00765F94">
        <w:rPr>
          <w:rFonts w:eastAsia="Times New Roman"/>
          <w:lang w:eastAsia="ru-RU"/>
        </w:rPr>
        <w:t>.</w:t>
      </w:r>
    </w:p>
    <w:p w:rsidR="0032489F" w:rsidRPr="00765F94" w:rsidRDefault="0032489F" w:rsidP="00EA4F00">
      <w:pPr>
        <w:spacing w:line="312" w:lineRule="auto"/>
        <w:jc w:val="both"/>
        <w:rPr>
          <w:rFonts w:eastAsia="Times New Roman"/>
          <w:lang w:eastAsia="ru-RU"/>
        </w:rPr>
      </w:pPr>
    </w:p>
    <w:p w:rsidR="00116D01" w:rsidRPr="00765F94" w:rsidRDefault="00116D01" w:rsidP="00EA4F00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spacing w:line="312" w:lineRule="auto"/>
        <w:ind w:left="0" w:firstLine="709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b/>
          <w:lang w:eastAsia="ru-RU"/>
        </w:rPr>
        <w:t>Результаты проведения оценки регулирующего воздействия</w:t>
      </w:r>
      <w:r w:rsidRPr="00765F94">
        <w:rPr>
          <w:rFonts w:eastAsia="Times New Roman"/>
          <w:lang w:eastAsia="ru-RU"/>
        </w:rPr>
        <w:t xml:space="preserve">: </w:t>
      </w:r>
    </w:p>
    <w:p w:rsidR="008B3ED9" w:rsidRPr="00765F94" w:rsidRDefault="00495412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 1 полугодие</w:t>
      </w:r>
      <w:r w:rsidR="007C6181" w:rsidRPr="00765F94">
        <w:rPr>
          <w:rFonts w:eastAsia="Times New Roman"/>
          <w:lang w:eastAsia="ru-RU"/>
        </w:rPr>
        <w:t xml:space="preserve"> 2018</w:t>
      </w:r>
      <w:r w:rsidR="00B75077" w:rsidRPr="00765F94">
        <w:rPr>
          <w:rFonts w:eastAsia="Times New Roman"/>
          <w:lang w:eastAsia="ru-RU"/>
        </w:rPr>
        <w:t xml:space="preserve"> года </w:t>
      </w:r>
      <w:r w:rsidR="00BA4B88" w:rsidRPr="00765F94">
        <w:rPr>
          <w:rFonts w:eastAsia="Times New Roman"/>
          <w:lang w:eastAsia="ru-RU"/>
        </w:rPr>
        <w:t xml:space="preserve">в Департамент экономического развития </w:t>
      </w:r>
      <w:r>
        <w:rPr>
          <w:rFonts w:eastAsia="Times New Roman"/>
          <w:lang w:eastAsia="ru-RU"/>
        </w:rPr>
        <w:br/>
      </w:r>
      <w:r w:rsidR="00BA4B88" w:rsidRPr="00765F94">
        <w:rPr>
          <w:rFonts w:eastAsia="Times New Roman"/>
          <w:lang w:eastAsia="ru-RU"/>
        </w:rPr>
        <w:t xml:space="preserve">Ханты-Мансийского автономного округа – Югры (далее – </w:t>
      </w:r>
      <w:r w:rsidR="004A2517" w:rsidRPr="00765F94">
        <w:rPr>
          <w:rFonts w:eastAsia="Times New Roman"/>
          <w:lang w:eastAsia="ru-RU"/>
        </w:rPr>
        <w:t xml:space="preserve">уполномоченный орган, </w:t>
      </w:r>
      <w:r w:rsidR="00BA4B88" w:rsidRPr="00765F94">
        <w:rPr>
          <w:rFonts w:eastAsia="Times New Roman"/>
          <w:lang w:eastAsia="ru-RU"/>
        </w:rPr>
        <w:t xml:space="preserve">автономный округ) для подготовки заключений об </w:t>
      </w:r>
      <w:r w:rsidR="001E452B" w:rsidRPr="00765F94">
        <w:rPr>
          <w:rFonts w:eastAsia="Times New Roman"/>
          <w:lang w:eastAsia="ru-RU"/>
        </w:rPr>
        <w:t xml:space="preserve">оценке регулирующего воздействия (далее – ОРВ) </w:t>
      </w:r>
      <w:r w:rsidR="00BA4B88" w:rsidRPr="00765F94">
        <w:rPr>
          <w:rFonts w:eastAsia="Times New Roman"/>
          <w:lang w:eastAsia="ru-RU"/>
        </w:rPr>
        <w:t xml:space="preserve">поступило </w:t>
      </w:r>
      <w:r w:rsidR="00BD70E0">
        <w:rPr>
          <w:rFonts w:eastAsia="Times New Roman"/>
          <w:lang w:eastAsia="ru-RU"/>
        </w:rPr>
        <w:t>13</w:t>
      </w:r>
      <w:r w:rsidR="00373A9F" w:rsidRPr="00765F94">
        <w:rPr>
          <w:rFonts w:eastAsia="Times New Roman"/>
          <w:lang w:eastAsia="ru-RU"/>
        </w:rPr>
        <w:t xml:space="preserve"> проектов </w:t>
      </w:r>
      <w:r w:rsidR="00BA4B88" w:rsidRPr="00765F94">
        <w:rPr>
          <w:rFonts w:eastAsia="Times New Roman"/>
          <w:lang w:eastAsia="ru-RU"/>
        </w:rPr>
        <w:t>нормативных правовых актов (далее – НПА)</w:t>
      </w:r>
      <w:r w:rsidR="008B3ED9" w:rsidRPr="00765F94">
        <w:rPr>
          <w:rFonts w:eastAsia="Times New Roman"/>
          <w:lang w:eastAsia="ru-RU"/>
        </w:rPr>
        <w:t>.</w:t>
      </w:r>
      <w:r w:rsidR="00D85B04" w:rsidRPr="00765F94">
        <w:rPr>
          <w:rFonts w:eastAsia="Times New Roman"/>
          <w:lang w:eastAsia="ru-RU"/>
        </w:rPr>
        <w:t xml:space="preserve"> </w:t>
      </w:r>
    </w:p>
    <w:p w:rsidR="00CD59E1" w:rsidRDefault="00CD59E1" w:rsidP="00EA4F00">
      <w:pPr>
        <w:shd w:val="clear" w:color="auto" w:fill="FFFFFF"/>
        <w:spacing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92526F" w:rsidRDefault="001E452B" w:rsidP="00EA4F00">
      <w:pPr>
        <w:shd w:val="clear" w:color="auto" w:fill="FFFFFF"/>
        <w:spacing w:line="312" w:lineRule="auto"/>
        <w:ind w:firstLine="709"/>
        <w:jc w:val="center"/>
        <w:rPr>
          <w:rFonts w:eastAsia="Times New Roman"/>
          <w:b/>
          <w:lang w:eastAsia="ru-RU"/>
        </w:rPr>
      </w:pPr>
      <w:r w:rsidRPr="00765F94">
        <w:rPr>
          <w:rFonts w:eastAsia="Times New Roman"/>
          <w:b/>
          <w:lang w:eastAsia="ru-RU"/>
        </w:rPr>
        <w:t xml:space="preserve">ОРВ проектов НПА в </w:t>
      </w:r>
      <w:r w:rsidR="00495412">
        <w:rPr>
          <w:rFonts w:eastAsia="Times New Roman"/>
          <w:b/>
          <w:lang w:eastAsia="ru-RU"/>
        </w:rPr>
        <w:t>1 полугодии</w:t>
      </w:r>
      <w:r w:rsidR="007C6181" w:rsidRPr="00765F94">
        <w:rPr>
          <w:rFonts w:eastAsia="Times New Roman"/>
          <w:b/>
          <w:lang w:eastAsia="ru-RU"/>
        </w:rPr>
        <w:t xml:space="preserve"> </w:t>
      </w:r>
      <w:r w:rsidRPr="00765F94">
        <w:rPr>
          <w:rFonts w:eastAsia="Times New Roman"/>
          <w:b/>
          <w:lang w:eastAsia="ru-RU"/>
        </w:rPr>
        <w:t>201</w:t>
      </w:r>
      <w:r w:rsidR="007C6181" w:rsidRPr="00765F94">
        <w:rPr>
          <w:rFonts w:eastAsia="Times New Roman"/>
          <w:b/>
          <w:lang w:eastAsia="ru-RU"/>
        </w:rPr>
        <w:t>8</w:t>
      </w:r>
      <w:r w:rsidRPr="00765F94">
        <w:rPr>
          <w:rFonts w:eastAsia="Times New Roman"/>
          <w:b/>
          <w:lang w:eastAsia="ru-RU"/>
        </w:rPr>
        <w:t xml:space="preserve"> год</w:t>
      </w:r>
      <w:r w:rsidR="007C6181" w:rsidRPr="00765F94">
        <w:rPr>
          <w:rFonts w:eastAsia="Times New Roman"/>
          <w:b/>
          <w:lang w:eastAsia="ru-RU"/>
        </w:rPr>
        <w:t>а</w:t>
      </w:r>
      <w:r w:rsidRPr="00765F94">
        <w:rPr>
          <w:rFonts w:eastAsia="Times New Roman"/>
          <w:b/>
          <w:lang w:eastAsia="ru-RU"/>
        </w:rPr>
        <w:t xml:space="preserve"> осуществляли</w:t>
      </w:r>
    </w:p>
    <w:p w:rsidR="00495412" w:rsidRDefault="00495412" w:rsidP="00EA4F00">
      <w:pPr>
        <w:shd w:val="clear" w:color="auto" w:fill="FFFFFF"/>
        <w:spacing w:line="312" w:lineRule="auto"/>
        <w:ind w:firstLine="709"/>
        <w:jc w:val="center"/>
        <w:rPr>
          <w:rFonts w:eastAsia="Times New Roman"/>
          <w:b/>
          <w:lang w:eastAsia="ru-RU"/>
        </w:rPr>
      </w:pPr>
    </w:p>
    <w:p w:rsidR="00495412" w:rsidRDefault="008A1ECA" w:rsidP="005C1CCC">
      <w:pPr>
        <w:shd w:val="clear" w:color="auto" w:fill="FFFFFF"/>
        <w:spacing w:line="312" w:lineRule="auto"/>
        <w:ind w:right="-114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 wp14:anchorId="44B3A52F" wp14:editId="3AD4D264">
            <wp:extent cx="6124575" cy="32004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2773" w:rsidRDefault="00EF2855" w:rsidP="00EA4F00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13</w:t>
      </w:r>
      <w:r w:rsidR="002C0E9A">
        <w:rPr>
          <w:rFonts w:eastAsia="Times New Roman"/>
          <w:lang w:eastAsia="ru-RU"/>
        </w:rPr>
        <w:t xml:space="preserve"> проектов</w:t>
      </w:r>
      <w:r w:rsidR="002C0E9A" w:rsidRPr="00765F94">
        <w:rPr>
          <w:rFonts w:eastAsia="Times New Roman"/>
          <w:lang w:eastAsia="ru-RU"/>
        </w:rPr>
        <w:t xml:space="preserve"> </w:t>
      </w:r>
      <w:r w:rsidR="002C0E9A">
        <w:rPr>
          <w:rFonts w:eastAsia="Times New Roman"/>
          <w:lang w:eastAsia="ru-RU"/>
        </w:rPr>
        <w:t>НПА уполномоченным органом</w:t>
      </w:r>
      <w:r w:rsidR="002C0E9A" w:rsidRPr="00765F94">
        <w:rPr>
          <w:rFonts w:eastAsia="Times New Roman"/>
          <w:lang w:eastAsia="ru-RU"/>
        </w:rPr>
        <w:t xml:space="preserve"> подготовлено </w:t>
      </w:r>
      <w:r>
        <w:rPr>
          <w:rFonts w:eastAsia="Times New Roman"/>
          <w:lang w:eastAsia="ru-RU"/>
        </w:rPr>
        <w:br/>
        <w:t>18</w:t>
      </w:r>
      <w:r w:rsidR="002C0E9A" w:rsidRPr="00765F94">
        <w:rPr>
          <w:rFonts w:eastAsia="Times New Roman"/>
          <w:lang w:eastAsia="ru-RU"/>
        </w:rPr>
        <w:t xml:space="preserve"> заключений</w:t>
      </w:r>
      <w:r w:rsidR="00FD2773">
        <w:rPr>
          <w:rFonts w:eastAsia="Times New Roman"/>
          <w:lang w:eastAsia="ru-RU"/>
        </w:rPr>
        <w:t>, из них:</w:t>
      </w:r>
    </w:p>
    <w:p w:rsidR="00FD2773" w:rsidRDefault="00EF2855" w:rsidP="00EA4F00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 5 заключений (27,8</w:t>
      </w:r>
      <w:r w:rsidR="002C0E9A">
        <w:rPr>
          <w:rFonts w:eastAsia="Times New Roman"/>
          <w:lang w:eastAsia="ru-RU"/>
        </w:rPr>
        <w:t>%)</w:t>
      </w:r>
      <w:r w:rsidR="00A01181">
        <w:rPr>
          <w:rFonts w:eastAsia="Times New Roman"/>
          <w:lang w:eastAsia="ru-RU"/>
        </w:rPr>
        <w:t xml:space="preserve"> </w:t>
      </w:r>
      <w:r w:rsidR="00FD2773">
        <w:rPr>
          <w:rFonts w:eastAsia="Times New Roman"/>
          <w:lang w:eastAsia="ru-RU"/>
        </w:rPr>
        <w:t>положите</w:t>
      </w:r>
      <w:r w:rsidR="00EF3C69">
        <w:rPr>
          <w:rFonts w:eastAsia="Times New Roman"/>
          <w:lang w:eastAsia="ru-RU"/>
        </w:rPr>
        <w:t>льных</w:t>
      </w:r>
      <w:r w:rsidR="00FD2773">
        <w:rPr>
          <w:rFonts w:eastAsia="Times New Roman"/>
          <w:lang w:eastAsia="ru-RU"/>
        </w:rPr>
        <w:t>;</w:t>
      </w:r>
    </w:p>
    <w:p w:rsidR="002C0E9A" w:rsidRDefault="00EF2855" w:rsidP="00EA4F00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 13 заключений (72,2</w:t>
      </w:r>
      <w:r w:rsidR="00EF3C69">
        <w:rPr>
          <w:rFonts w:eastAsia="Times New Roman"/>
          <w:lang w:eastAsia="ru-RU"/>
        </w:rPr>
        <w:t>%) отрицательных</w:t>
      </w:r>
      <w:r w:rsidR="00FD2773">
        <w:rPr>
          <w:rFonts w:eastAsia="Times New Roman"/>
          <w:lang w:eastAsia="ru-RU"/>
        </w:rPr>
        <w:t>.</w:t>
      </w:r>
    </w:p>
    <w:p w:rsidR="00FD2773" w:rsidRDefault="00FD2773" w:rsidP="00EA4F00">
      <w:pPr>
        <w:shd w:val="clear" w:color="auto" w:fill="FFFFFF"/>
        <w:spacing w:line="312" w:lineRule="auto"/>
        <w:ind w:firstLine="709"/>
        <w:jc w:val="center"/>
        <w:rPr>
          <w:b/>
        </w:rPr>
      </w:pPr>
    </w:p>
    <w:p w:rsidR="00FD2773" w:rsidRDefault="00FD2773" w:rsidP="00EA4F00">
      <w:pPr>
        <w:shd w:val="clear" w:color="auto" w:fill="FFFFFF"/>
        <w:spacing w:line="312" w:lineRule="auto"/>
        <w:ind w:firstLine="709"/>
        <w:jc w:val="center"/>
        <w:rPr>
          <w:b/>
        </w:rPr>
      </w:pPr>
    </w:p>
    <w:p w:rsidR="00CD59E1" w:rsidRDefault="00CD59E1" w:rsidP="00EA4F00">
      <w:pPr>
        <w:shd w:val="clear" w:color="auto" w:fill="FFFFFF"/>
        <w:spacing w:line="312" w:lineRule="auto"/>
        <w:ind w:firstLine="709"/>
        <w:jc w:val="center"/>
        <w:rPr>
          <w:b/>
        </w:rPr>
      </w:pPr>
    </w:p>
    <w:p w:rsidR="00EA4F00" w:rsidRDefault="00EA4F00" w:rsidP="00EF2855">
      <w:pPr>
        <w:shd w:val="clear" w:color="auto" w:fill="FFFFFF"/>
        <w:spacing w:line="312" w:lineRule="auto"/>
        <w:jc w:val="center"/>
        <w:rPr>
          <w:b/>
          <w:noProof/>
          <w:lang w:eastAsia="ru-RU"/>
        </w:rPr>
      </w:pPr>
      <w:r w:rsidRPr="00765F94">
        <w:rPr>
          <w:b/>
        </w:rPr>
        <w:lastRenderedPageBreak/>
        <w:t xml:space="preserve">Количество заключений по </w:t>
      </w:r>
      <w:r>
        <w:rPr>
          <w:b/>
        </w:rPr>
        <w:t>ОРВ</w:t>
      </w:r>
      <w:r w:rsidR="00CD59E1">
        <w:rPr>
          <w:b/>
          <w:noProof/>
          <w:lang w:eastAsia="ru-RU"/>
        </w:rPr>
        <w:t xml:space="preserve"> за 1 полугодие</w:t>
      </w:r>
      <w:r w:rsidRPr="00765F94">
        <w:rPr>
          <w:b/>
          <w:noProof/>
          <w:lang w:eastAsia="ru-RU"/>
        </w:rPr>
        <w:t xml:space="preserve"> 2018 года</w:t>
      </w:r>
    </w:p>
    <w:p w:rsidR="005A1795" w:rsidRDefault="005A1795" w:rsidP="005A1795">
      <w:pPr>
        <w:shd w:val="clear" w:color="auto" w:fill="FFFFFF"/>
        <w:spacing w:line="312" w:lineRule="auto"/>
        <w:jc w:val="center"/>
        <w:rPr>
          <w:b/>
          <w:noProof/>
          <w:lang w:eastAsia="ru-RU"/>
        </w:rPr>
      </w:pPr>
    </w:p>
    <w:p w:rsidR="00CD59E1" w:rsidRDefault="005A1795" w:rsidP="005A1795">
      <w:pPr>
        <w:shd w:val="clear" w:color="auto" w:fill="FFFFFF"/>
        <w:spacing w:line="312" w:lineRule="auto"/>
        <w:jc w:val="center"/>
        <w:rPr>
          <w:b/>
          <w:noProof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394EDD24" wp14:editId="21867F74">
            <wp:extent cx="59817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59E1" w:rsidRDefault="00CD59E1" w:rsidP="00EA4F00">
      <w:pPr>
        <w:shd w:val="clear" w:color="auto" w:fill="FFFFFF"/>
        <w:spacing w:line="312" w:lineRule="auto"/>
        <w:ind w:firstLine="709"/>
        <w:jc w:val="center"/>
        <w:rPr>
          <w:b/>
          <w:noProof/>
          <w:lang w:eastAsia="ru-RU"/>
        </w:rPr>
      </w:pPr>
    </w:p>
    <w:p w:rsidR="008B3ED9" w:rsidRPr="00765F94" w:rsidRDefault="008B3ED9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Причинами отказа</w:t>
      </w:r>
      <w:r w:rsidR="001F6DFD" w:rsidRPr="00765F94">
        <w:rPr>
          <w:rFonts w:eastAsia="Times New Roman"/>
          <w:lang w:eastAsia="ru-RU"/>
        </w:rPr>
        <w:t xml:space="preserve"> </w:t>
      </w:r>
      <w:r w:rsidRPr="00765F94">
        <w:rPr>
          <w:rFonts w:eastAsia="Times New Roman"/>
          <w:lang w:eastAsia="ru-RU"/>
        </w:rPr>
        <w:t xml:space="preserve">в согласовании послужили: </w:t>
      </w:r>
    </w:p>
    <w:p w:rsidR="000C2340" w:rsidRPr="00765F94" w:rsidRDefault="00697FB2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нарушения порядка проведения ОРВ;</w:t>
      </w:r>
    </w:p>
    <w:p w:rsidR="00697FB2" w:rsidRPr="00765F94" w:rsidRDefault="00697FB2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неоднозначная трактовка положений проекта;</w:t>
      </w:r>
    </w:p>
    <w:p w:rsidR="00697FB2" w:rsidRPr="00765F94" w:rsidRDefault="00697FB2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наличие признаков непрозрачности административных процедур;</w:t>
      </w:r>
    </w:p>
    <w:p w:rsidR="00697FB2" w:rsidRPr="00765F94" w:rsidRDefault="00697FB2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наличие неопределенной, двусмысленной терминологии;</w:t>
      </w:r>
    </w:p>
    <w:p w:rsidR="00697FB2" w:rsidRPr="00765F94" w:rsidRDefault="00697FB2" w:rsidP="00725B42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наличие требований представления излишних документов;</w:t>
      </w:r>
    </w:p>
    <w:p w:rsidR="00697FB2" w:rsidRPr="00765F94" w:rsidRDefault="00697FB2" w:rsidP="00725B42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 xml:space="preserve">введение необоснованных ограничений для субъектов предпринимательской и инвестиционной деятельности. </w:t>
      </w:r>
    </w:p>
    <w:p w:rsidR="006C0390" w:rsidRDefault="006C0390" w:rsidP="00725B42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765F94">
        <w:rPr>
          <w:rFonts w:eastAsia="Times New Roman"/>
          <w:lang w:eastAsia="ru-RU"/>
        </w:rPr>
        <w:t xml:space="preserve">Так, по результатам ОРВ проекта </w:t>
      </w:r>
      <w:r w:rsidR="00CB3AF2" w:rsidRPr="00CB3AF2">
        <w:t xml:space="preserve">постановления Правительства </w:t>
      </w:r>
      <w:r w:rsidR="00CB3AF2">
        <w:br/>
      </w:r>
      <w:r w:rsidR="00205E25">
        <w:t xml:space="preserve">автономного округа </w:t>
      </w:r>
      <w:r w:rsidR="00CB3AF2" w:rsidRPr="00CB3AF2">
        <w:t>«О внесении изменений в приложение к постановлению</w:t>
      </w:r>
      <w:r w:rsidR="00CB3AF2">
        <w:t xml:space="preserve"> Правительства </w:t>
      </w:r>
      <w:r w:rsidR="00CB3AF2" w:rsidRPr="00CB3AF2">
        <w:t>Ханты-Мансийского автономного округа – Югры от 9 октября 2013</w:t>
      </w:r>
      <w:r w:rsidR="00CB3AF2">
        <w:t xml:space="preserve"> года </w:t>
      </w:r>
      <w:r w:rsidR="00CB3AF2" w:rsidRPr="00CB3AF2">
        <w:t>№ 420-п «О государственной программе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Югре на 2018-2025 годы и на период до 2030 года»</w:t>
      </w:r>
      <w:r w:rsidR="00725B42">
        <w:t xml:space="preserve"> Деппромышленности Югры</w:t>
      </w:r>
      <w:proofErr w:type="gramEnd"/>
      <w:r w:rsidR="00205E25">
        <w:t xml:space="preserve"> </w:t>
      </w:r>
      <w:r w:rsidRPr="00765F94">
        <w:rPr>
          <w:rFonts w:eastAsia="Times New Roman"/>
          <w:lang w:eastAsia="ru-RU"/>
        </w:rPr>
        <w:t>указано на следующие недостатки:</w:t>
      </w:r>
    </w:p>
    <w:p w:rsidR="006C0390" w:rsidRDefault="00263FCD" w:rsidP="00725B42">
      <w:pPr>
        <w:pStyle w:val="a9"/>
        <w:numPr>
          <w:ilvl w:val="0"/>
          <w:numId w:val="6"/>
        </w:numPr>
        <w:shd w:val="clear" w:color="auto" w:fill="FFFFFF"/>
        <w:spacing w:line="312" w:lineRule="auto"/>
        <w:jc w:val="both"/>
        <w:rPr>
          <w:rFonts w:eastAsia="Times New Roman"/>
          <w:lang w:eastAsia="ru-RU"/>
        </w:rPr>
      </w:pPr>
      <w:r w:rsidRPr="00205E25">
        <w:rPr>
          <w:rFonts w:eastAsia="Times New Roman"/>
          <w:lang w:eastAsia="ru-RU"/>
        </w:rPr>
        <w:t>наличие замечаний к пояснительной записке и сводному отчету</w:t>
      </w:r>
      <w:r w:rsidR="006C0390" w:rsidRPr="00205E25">
        <w:rPr>
          <w:rFonts w:eastAsia="Times New Roman"/>
          <w:lang w:eastAsia="ru-RU"/>
        </w:rPr>
        <w:t>;</w:t>
      </w:r>
    </w:p>
    <w:p w:rsidR="00955BD9" w:rsidRPr="00955BD9" w:rsidRDefault="00955BD9" w:rsidP="00725B42">
      <w:pPr>
        <w:pStyle w:val="a9"/>
        <w:numPr>
          <w:ilvl w:val="0"/>
          <w:numId w:val="6"/>
        </w:numPr>
        <w:shd w:val="clear" w:color="auto" w:fill="FFFFFF"/>
        <w:spacing w:line="312" w:lineRule="auto"/>
        <w:jc w:val="both"/>
        <w:rPr>
          <w:rFonts w:eastAsia="Times New Roman"/>
          <w:lang w:eastAsia="ru-RU"/>
        </w:rPr>
      </w:pPr>
      <w:r>
        <w:t>о</w:t>
      </w:r>
      <w:r w:rsidRPr="0071786C">
        <w:t>бщие замечания к порядкам предоставления субсидий и грантов:</w:t>
      </w:r>
    </w:p>
    <w:p w:rsidR="00955BD9" w:rsidRPr="0071786C" w:rsidRDefault="00955BD9" w:rsidP="00725B42">
      <w:pPr>
        <w:pStyle w:val="ConsPlusTitle"/>
        <w:spacing w:line="312" w:lineRule="auto"/>
        <w:ind w:firstLine="709"/>
        <w:jc w:val="both"/>
        <w:rPr>
          <w:b w:val="0"/>
        </w:rPr>
      </w:pPr>
      <w:r w:rsidRPr="0071786C">
        <w:rPr>
          <w:b w:val="0"/>
        </w:rPr>
        <w:lastRenderedPageBreak/>
        <w:t>в качестве получателя субсидии излишне отдельно указаны общины коренных малочисленных народов Севера, поскольку они также являются юридическими лицами;</w:t>
      </w:r>
    </w:p>
    <w:p w:rsidR="00955BD9" w:rsidRPr="0071786C" w:rsidRDefault="00955BD9" w:rsidP="00725B42">
      <w:pPr>
        <w:tabs>
          <w:tab w:val="left" w:pos="709"/>
          <w:tab w:val="left" w:pos="993"/>
        </w:tabs>
        <w:spacing w:line="312" w:lineRule="auto"/>
        <w:jc w:val="both"/>
      </w:pPr>
      <w:r w:rsidRPr="0071786C">
        <w:tab/>
        <w:t xml:space="preserve">требование к получателям субсидии об отсутствии задолженности перед бюджетом автономного округа указано некорректно, в </w:t>
      </w:r>
      <w:proofErr w:type="gramStart"/>
      <w:r w:rsidRPr="0071786C">
        <w:t>связи</w:t>
      </w:r>
      <w:proofErr w:type="gramEnd"/>
      <w:r w:rsidRPr="0071786C">
        <w:t xml:space="preserve"> с чем слова </w:t>
      </w:r>
      <w:r>
        <w:br/>
      </w:r>
      <w:r w:rsidRPr="0071786C">
        <w:t>«по возврату в бюджет бюджетной системы Российской Федерации, из которого планируется предоставление субсидии в соответствии с Порядком» целесообразно заменить словами «по возврату в бюджет автономного округа»;</w:t>
      </w:r>
    </w:p>
    <w:p w:rsidR="00955BD9" w:rsidRPr="0071786C" w:rsidRDefault="00955BD9" w:rsidP="00725B42">
      <w:pPr>
        <w:tabs>
          <w:tab w:val="left" w:pos="709"/>
          <w:tab w:val="left" w:pos="993"/>
        </w:tabs>
        <w:spacing w:line="312" w:lineRule="auto"/>
        <w:jc w:val="both"/>
      </w:pPr>
      <w:r w:rsidRPr="0071786C">
        <w:tab/>
        <w:t xml:space="preserve">требование к получателям субсидии об отсутствии аналогичных мер государственной поддержки указано некорректно, в </w:t>
      </w:r>
      <w:proofErr w:type="gramStart"/>
      <w:r w:rsidR="00725B42">
        <w:t>связи</w:t>
      </w:r>
      <w:proofErr w:type="gramEnd"/>
      <w:r w:rsidRPr="0071786C">
        <w:t xml:space="preserve"> с чем слова </w:t>
      </w:r>
      <w:r w:rsidRPr="0071786C">
        <w:br/>
        <w:t>«из бюджета бюджетной системы Российской Федерации, из которого планируется предоставление субсидии в соответствии с Порядком» целесообразно заменить словами «из бюджета автономного округа»;</w:t>
      </w:r>
    </w:p>
    <w:p w:rsidR="00955BD9" w:rsidRPr="0071786C" w:rsidRDefault="00955BD9" w:rsidP="00725B42">
      <w:pPr>
        <w:autoSpaceDE w:val="0"/>
        <w:autoSpaceDN w:val="0"/>
        <w:adjustRightInd w:val="0"/>
        <w:spacing w:line="312" w:lineRule="auto"/>
        <w:jc w:val="both"/>
      </w:pPr>
      <w:r w:rsidRPr="0071786C">
        <w:tab/>
        <w:t>не установлены наименования документов, подтверждающих отсутствие просроченной задолженности по возврату в бюджет автономного округа субсидий и бюджетных инвестиций, а также факт отсутствия предоставления иных мер финансовой поддержки на цели, аналогичные цели предоставления субсидии, не установлен источник получения указанных документов (истре</w:t>
      </w:r>
      <w:r>
        <w:t xml:space="preserve">бование у заявителя, получение </w:t>
      </w:r>
      <w:r w:rsidRPr="0071786C">
        <w:t>в порядке межведомственного и</w:t>
      </w:r>
      <w:r>
        <w:t>нформационного взаимодействия);</w:t>
      </w:r>
    </w:p>
    <w:p w:rsidR="00955BD9" w:rsidRPr="0071786C" w:rsidRDefault="00955BD9" w:rsidP="00725B42">
      <w:pPr>
        <w:pStyle w:val="ConsPlusNormal"/>
        <w:spacing w:line="312" w:lineRule="auto"/>
        <w:ind w:firstLine="540"/>
        <w:jc w:val="both"/>
      </w:pPr>
      <w:r w:rsidRPr="0071786C">
        <w:tab/>
        <w:t xml:space="preserve">в перечне сведений, получаемых в порядке межведомственного информационного взаимодействия, некорректно указано наименование получателя налоговых платежей, а также наименование получаемых сведений, </w:t>
      </w:r>
      <w:r>
        <w:br/>
      </w:r>
      <w:r w:rsidRPr="0071786C">
        <w:t xml:space="preserve">в </w:t>
      </w:r>
      <w:proofErr w:type="gramStart"/>
      <w:r w:rsidRPr="0071786C">
        <w:t>связи</w:t>
      </w:r>
      <w:proofErr w:type="gramEnd"/>
      <w:r w:rsidRPr="0071786C">
        <w:t xml:space="preserve"> с чем соответствующие пункты целесообразно изложить в следующей редакции: «документы об отсутствии задолженности по уплате налогов, сборов, страховых взносов, пеней, штрафов,</w:t>
      </w:r>
      <w:r>
        <w:t xml:space="preserve"> процентов, подлежащих уплате </w:t>
      </w:r>
      <w:r w:rsidR="00725B42">
        <w:br/>
      </w:r>
      <w:r>
        <w:t>в</w:t>
      </w:r>
      <w:r w:rsidR="00725B42">
        <w:t xml:space="preserve"> </w:t>
      </w:r>
      <w:r w:rsidRPr="0071786C">
        <w:t>соответствии с законодательством Российской Федерации о налогах и сборах»;</w:t>
      </w:r>
    </w:p>
    <w:p w:rsidR="00955BD9" w:rsidRPr="0071786C" w:rsidRDefault="00955BD9" w:rsidP="00725B42">
      <w:pPr>
        <w:tabs>
          <w:tab w:val="left" w:pos="709"/>
          <w:tab w:val="left" w:pos="993"/>
        </w:tabs>
        <w:spacing w:line="312" w:lineRule="auto"/>
        <w:ind w:firstLine="709"/>
        <w:jc w:val="both"/>
      </w:pPr>
      <w:r w:rsidRPr="0071786C">
        <w:t xml:space="preserve">не указаны требования к оформлению документов, представляемых через многофункциональный центр предоставления государственных </w:t>
      </w:r>
      <w:r>
        <w:br/>
      </w:r>
      <w:r w:rsidRPr="0071786C">
        <w:t>и муниципальных услуг и по электронным каналам связи;</w:t>
      </w:r>
    </w:p>
    <w:p w:rsidR="00955BD9" w:rsidRPr="0071786C" w:rsidRDefault="00955BD9" w:rsidP="00725B42">
      <w:pPr>
        <w:tabs>
          <w:tab w:val="left" w:pos="709"/>
          <w:tab w:val="left" w:pos="993"/>
        </w:tabs>
        <w:spacing w:line="312" w:lineRule="auto"/>
        <w:jc w:val="both"/>
      </w:pPr>
      <w:r w:rsidRPr="0071786C">
        <w:tab/>
        <w:t xml:space="preserve">положения, устанавливающие обязанность Деппромышленности Югры проверять сведения, полученные в порядке межведомственного информационного взаимодействия, влекут излишние бюджетные расходы, поскольку указанные сведения априори являются достоверными. </w:t>
      </w:r>
      <w:r>
        <w:br/>
      </w:r>
      <w:r w:rsidRPr="0071786C">
        <w:t xml:space="preserve">Кроме того, даты получения документов от соискателя субсидии и получения </w:t>
      </w:r>
      <w:r w:rsidRPr="0071786C">
        <w:lastRenderedPageBreak/>
        <w:t xml:space="preserve">сведений в порядке межведомственного информационного взаимодействия </w:t>
      </w:r>
      <w:r>
        <w:br/>
      </w:r>
      <w:r w:rsidRPr="0071786C">
        <w:t xml:space="preserve">не могут совпадать по причине того, что межведомственный запрос </w:t>
      </w:r>
      <w:r w:rsidRPr="0071786C">
        <w:br/>
        <w:t xml:space="preserve">направляется после получения заявления о предоставлении субсидии, </w:t>
      </w:r>
      <w:r>
        <w:br/>
      </w:r>
      <w:r w:rsidRPr="0071786C">
        <w:t xml:space="preserve">поэтому дата передачи документов в комиссию по предоставлению государственной поддержки сельскохозяйственным товаропроизводителям </w:t>
      </w:r>
      <w:r>
        <w:br/>
      </w:r>
      <w:r w:rsidRPr="0071786C">
        <w:t>не может быть привязана одновременно к обеим указанным датам;</w:t>
      </w:r>
    </w:p>
    <w:p w:rsidR="00955BD9" w:rsidRPr="0071786C" w:rsidRDefault="00955BD9" w:rsidP="00725B42">
      <w:pPr>
        <w:tabs>
          <w:tab w:val="left" w:pos="709"/>
          <w:tab w:val="left" w:pos="993"/>
        </w:tabs>
        <w:spacing w:line="312" w:lineRule="auto"/>
        <w:jc w:val="both"/>
      </w:pPr>
      <w:r w:rsidRPr="0071786C">
        <w:tab/>
        <w:t xml:space="preserve">не </w:t>
      </w:r>
      <w:proofErr w:type="gramStart"/>
      <w:r w:rsidRPr="0071786C">
        <w:t>указано</w:t>
      </w:r>
      <w:proofErr w:type="gramEnd"/>
      <w:r w:rsidRPr="0071786C">
        <w:t xml:space="preserve"> на каком этапе и каким органом могут быть выявлены противоречия в сведениях, представленных получателем субсидии, а также сроки обращения Деппромышленности Югры к получателю субсидии </w:t>
      </w:r>
      <w:r w:rsidRPr="0071786C">
        <w:br/>
        <w:t>и в соответствующие государственные органы, органы местного самоуправления и организации;</w:t>
      </w:r>
    </w:p>
    <w:p w:rsidR="00955BD9" w:rsidRPr="0071786C" w:rsidRDefault="00955BD9" w:rsidP="00725B42">
      <w:pPr>
        <w:pStyle w:val="ConsPlusNormal"/>
        <w:tabs>
          <w:tab w:val="left" w:pos="709"/>
        </w:tabs>
        <w:spacing w:line="312" w:lineRule="auto"/>
        <w:ind w:firstLine="540"/>
        <w:jc w:val="both"/>
      </w:pPr>
      <w:r w:rsidRPr="0071786C">
        <w:tab/>
        <w:t xml:space="preserve">положения, регулирующие сроки предоставления субсидий  </w:t>
      </w:r>
      <w:r w:rsidRPr="0071786C">
        <w:br/>
        <w:t xml:space="preserve">не соотносятся друг с другом. Так, согласно одним нормам, Деппромышленности Югры собирает заявления от соискателей субсидии, поступившие в определенный временной период текущего года, </w:t>
      </w:r>
      <w:r w:rsidRPr="0071786C">
        <w:br/>
        <w:t xml:space="preserve">и формирует единый список получателей субсидий на текущий год </w:t>
      </w:r>
      <w:r w:rsidRPr="0071786C">
        <w:br/>
        <w:t>в хронологической последовательности, согласно регистрации заявлений по дате поступления. При этом</w:t>
      </w:r>
      <w:proofErr w:type="gramStart"/>
      <w:r w:rsidRPr="0071786C">
        <w:t>,</w:t>
      </w:r>
      <w:proofErr w:type="gramEnd"/>
      <w:r w:rsidRPr="0071786C">
        <w:t xml:space="preserve"> в соответствии с другими нормами каждое заявление </w:t>
      </w:r>
      <w:r>
        <w:br/>
      </w:r>
      <w:r w:rsidRPr="0071786C">
        <w:t>о предоставлении субсидии рассматривается отдельно в определенные сроки;</w:t>
      </w:r>
    </w:p>
    <w:p w:rsidR="00955BD9" w:rsidRPr="0071786C" w:rsidRDefault="00955BD9" w:rsidP="00725B42">
      <w:pPr>
        <w:pStyle w:val="ConsPlusNormal"/>
        <w:spacing w:line="312" w:lineRule="auto"/>
        <w:ind w:firstLine="709"/>
        <w:jc w:val="both"/>
      </w:pPr>
      <w:r w:rsidRPr="0071786C">
        <w:t>в связи с тем, что установленные порядками способы передачи получателю субсидии соглашения о ее предоставлении</w:t>
      </w:r>
      <w:r>
        <w:t xml:space="preserve"> </w:t>
      </w:r>
      <w:r w:rsidRPr="0071786C">
        <w:t>не предусматривают подтверждение его получения, применение положения о признании получателя субсидии уклонившимся</w:t>
      </w:r>
      <w:r>
        <w:t xml:space="preserve"> </w:t>
      </w:r>
      <w:r w:rsidRPr="0071786C">
        <w:t xml:space="preserve">от ее получения неприменимы. Кроме того, требование </w:t>
      </w:r>
      <w:r>
        <w:br/>
      </w:r>
      <w:r w:rsidRPr="0071786C">
        <w:t xml:space="preserve">о представлении получателем субсидии подписанного соглашения </w:t>
      </w:r>
      <w:r>
        <w:br/>
      </w:r>
      <w:r w:rsidRPr="0071786C">
        <w:t>в пятидневный срок может быть не соблюдено по независящим от него причинам, например затягиванием сроков пересылки и доставки корреспонденции почтовыми организациями, в связи с чем</w:t>
      </w:r>
      <w:r w:rsidR="00725B42">
        <w:t>,</w:t>
      </w:r>
      <w:r w:rsidRPr="0071786C">
        <w:t xml:space="preserve"> пред</w:t>
      </w:r>
      <w:r>
        <w:t xml:space="preserve">лагаю исчислять указанный срок </w:t>
      </w:r>
      <w:r w:rsidRPr="0071786C">
        <w:t>с момента передачи корреспонденции почтовой организации;</w:t>
      </w:r>
    </w:p>
    <w:p w:rsidR="00955BD9" w:rsidRDefault="00955BD9" w:rsidP="00725B42">
      <w:pPr>
        <w:pStyle w:val="ConsPlusNormal"/>
        <w:spacing w:line="312" w:lineRule="auto"/>
        <w:ind w:firstLine="709"/>
        <w:jc w:val="both"/>
      </w:pPr>
      <w:r w:rsidRPr="0071786C">
        <w:t>не указан способ направления уведомления об отка</w:t>
      </w:r>
      <w:r w:rsidR="00725B42">
        <w:t xml:space="preserve">зе </w:t>
      </w:r>
      <w:r w:rsidR="00EF2855">
        <w:t>в предоставлении субсидии.</w:t>
      </w:r>
    </w:p>
    <w:p w:rsidR="00545A4E" w:rsidRPr="00765F94" w:rsidRDefault="00545A4E" w:rsidP="00725B42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765F94">
        <w:rPr>
          <w:rFonts w:eastAsia="Times New Roman"/>
          <w:lang w:eastAsia="ru-RU"/>
        </w:rPr>
        <w:t xml:space="preserve">По результатам ОРВ проекта закона </w:t>
      </w:r>
      <w:r w:rsidR="0032489F" w:rsidRPr="00765F94">
        <w:rPr>
          <w:rFonts w:eastAsia="Times New Roman"/>
          <w:lang w:eastAsia="ru-RU"/>
        </w:rPr>
        <w:t xml:space="preserve">автономного округа </w:t>
      </w:r>
      <w:r w:rsidRPr="00765F94">
        <w:rPr>
          <w:rFonts w:eastAsia="Times New Roman"/>
          <w:lang w:eastAsia="ru-RU"/>
        </w:rPr>
        <w:t>«Об</w:t>
      </w:r>
      <w:r w:rsidR="0032489F" w:rsidRPr="00765F94">
        <w:rPr>
          <w:rFonts w:eastAsia="Times New Roman"/>
          <w:lang w:eastAsia="ru-RU"/>
        </w:rPr>
        <w:t> </w:t>
      </w:r>
      <w:r w:rsidRPr="00765F94">
        <w:rPr>
          <w:rFonts w:eastAsia="Times New Roman"/>
          <w:lang w:eastAsia="ru-RU"/>
        </w:rPr>
        <w:t>установлении ограничений использования и продажи электронных систем доставки никотина на территории Ханты-Мансийского автономного округа – Югры и о внесении изменений в Закон Ханты-Мансийского автономного округа – Югры «Об</w:t>
      </w:r>
      <w:r w:rsidR="0032489F" w:rsidRPr="00765F94">
        <w:rPr>
          <w:rFonts w:eastAsia="Times New Roman"/>
          <w:lang w:eastAsia="ru-RU"/>
        </w:rPr>
        <w:t> </w:t>
      </w:r>
      <w:r w:rsidRPr="00765F94">
        <w:rPr>
          <w:rFonts w:eastAsia="Times New Roman"/>
          <w:lang w:eastAsia="ru-RU"/>
        </w:rPr>
        <w:t xml:space="preserve">административных правонарушениях» уполномоченным органом </w:t>
      </w:r>
      <w:r w:rsidRPr="00765F94">
        <w:rPr>
          <w:rFonts w:eastAsia="Times New Roman"/>
          <w:lang w:eastAsia="ru-RU"/>
        </w:rPr>
        <w:lastRenderedPageBreak/>
        <w:t>вынесено отрицательное заключение по причине нарушения порядка пров</w:t>
      </w:r>
      <w:r w:rsidR="00725B42">
        <w:rPr>
          <w:rFonts w:eastAsia="Times New Roman"/>
          <w:lang w:eastAsia="ru-RU"/>
        </w:rPr>
        <w:t xml:space="preserve">едения процедуры ОРВ, а </w:t>
      </w:r>
      <w:r w:rsidR="00407E73">
        <w:rPr>
          <w:rFonts w:eastAsia="Times New Roman"/>
          <w:lang w:eastAsia="ru-RU"/>
        </w:rPr>
        <w:t xml:space="preserve">именно </w:t>
      </w:r>
      <w:r w:rsidRPr="00765F94">
        <w:rPr>
          <w:rFonts w:eastAsia="Times New Roman"/>
          <w:lang w:eastAsia="ru-RU"/>
        </w:rPr>
        <w:t>не урегулирован</w:t>
      </w:r>
      <w:r w:rsidR="00407E73">
        <w:rPr>
          <w:rFonts w:eastAsia="Times New Roman"/>
          <w:lang w:eastAsia="ru-RU"/>
        </w:rPr>
        <w:t>ия</w:t>
      </w:r>
      <w:r w:rsidRPr="00765F94">
        <w:rPr>
          <w:rFonts w:eastAsia="Times New Roman"/>
          <w:lang w:eastAsia="ru-RU"/>
        </w:rPr>
        <w:t xml:space="preserve"> разноглас</w:t>
      </w:r>
      <w:r w:rsidR="00407E73">
        <w:rPr>
          <w:rFonts w:eastAsia="Times New Roman"/>
          <w:lang w:eastAsia="ru-RU"/>
        </w:rPr>
        <w:t>ий</w:t>
      </w:r>
      <w:r w:rsidRPr="00765F94">
        <w:rPr>
          <w:rFonts w:eastAsia="Times New Roman"/>
          <w:lang w:eastAsia="ru-RU"/>
        </w:rPr>
        <w:t xml:space="preserve"> с</w:t>
      </w:r>
      <w:r w:rsidR="0032489F" w:rsidRPr="00765F94">
        <w:rPr>
          <w:rFonts w:eastAsia="Times New Roman"/>
          <w:lang w:eastAsia="ru-RU"/>
        </w:rPr>
        <w:t xml:space="preserve"> </w:t>
      </w:r>
      <w:r w:rsidRPr="00765F94">
        <w:rPr>
          <w:rFonts w:eastAsia="Times New Roman"/>
          <w:lang w:eastAsia="ru-RU"/>
        </w:rPr>
        <w:t>участниками публичных консультаций.</w:t>
      </w:r>
      <w:proofErr w:type="gramEnd"/>
    </w:p>
    <w:p w:rsidR="0032489F" w:rsidRPr="00765F94" w:rsidRDefault="0032489F" w:rsidP="00725B42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b/>
          <w:lang w:eastAsia="ru-RU"/>
        </w:rPr>
      </w:pPr>
    </w:p>
    <w:p w:rsidR="008B448B" w:rsidRPr="00765F94" w:rsidRDefault="008B448B" w:rsidP="00EA4F00">
      <w:pPr>
        <w:shd w:val="clear" w:color="auto" w:fill="FFFFFF"/>
        <w:tabs>
          <w:tab w:val="left" w:pos="993"/>
        </w:tabs>
        <w:spacing w:line="312" w:lineRule="auto"/>
        <w:ind w:firstLine="709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b/>
          <w:lang w:val="en-US" w:eastAsia="ru-RU"/>
        </w:rPr>
        <w:t>II</w:t>
      </w:r>
      <w:r w:rsidRPr="00765F94">
        <w:rPr>
          <w:rFonts w:eastAsia="Times New Roman"/>
          <w:b/>
          <w:lang w:eastAsia="ru-RU"/>
        </w:rPr>
        <w:t xml:space="preserve">. Результаты проведения </w:t>
      </w:r>
      <w:r w:rsidR="00602C9A" w:rsidRPr="00765F94">
        <w:rPr>
          <w:rFonts w:eastAsia="Times New Roman"/>
          <w:b/>
          <w:lang w:eastAsia="ru-RU"/>
        </w:rPr>
        <w:t>экспертизы НПА</w:t>
      </w:r>
      <w:r w:rsidR="001537E7" w:rsidRPr="00765F94">
        <w:rPr>
          <w:rFonts w:eastAsia="Times New Roman"/>
          <w:lang w:eastAsia="ru-RU"/>
        </w:rPr>
        <w:t>.</w:t>
      </w:r>
    </w:p>
    <w:p w:rsidR="00130E2A" w:rsidRDefault="000C3226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 xml:space="preserve">В </w:t>
      </w:r>
      <w:r w:rsidR="00725B42">
        <w:rPr>
          <w:rFonts w:eastAsia="Times New Roman"/>
          <w:lang w:eastAsia="ru-RU"/>
        </w:rPr>
        <w:t>1 полугодии</w:t>
      </w:r>
      <w:r w:rsidR="00585226" w:rsidRPr="00765F94">
        <w:rPr>
          <w:rFonts w:eastAsia="Times New Roman"/>
          <w:lang w:eastAsia="ru-RU"/>
        </w:rPr>
        <w:t xml:space="preserve"> 2018</w:t>
      </w:r>
      <w:r w:rsidR="001015EC" w:rsidRPr="00765F94">
        <w:rPr>
          <w:rFonts w:eastAsia="Times New Roman"/>
          <w:lang w:eastAsia="ru-RU"/>
        </w:rPr>
        <w:t xml:space="preserve"> год</w:t>
      </w:r>
      <w:r w:rsidR="00585226" w:rsidRPr="00765F94">
        <w:rPr>
          <w:rFonts w:eastAsia="Times New Roman"/>
          <w:lang w:eastAsia="ru-RU"/>
        </w:rPr>
        <w:t>а</w:t>
      </w:r>
      <w:r w:rsidR="001015EC" w:rsidRPr="00765F94">
        <w:rPr>
          <w:rFonts w:eastAsia="Times New Roman"/>
          <w:lang w:eastAsia="ru-RU"/>
        </w:rPr>
        <w:t xml:space="preserve"> в </w:t>
      </w:r>
      <w:r w:rsidR="002F7713" w:rsidRPr="00765F94">
        <w:rPr>
          <w:rFonts w:eastAsia="Times New Roman"/>
          <w:lang w:eastAsia="ru-RU"/>
        </w:rPr>
        <w:t>уполномоченны</w:t>
      </w:r>
      <w:r w:rsidR="001E452B" w:rsidRPr="00765F94">
        <w:rPr>
          <w:rFonts w:eastAsia="Times New Roman"/>
          <w:lang w:eastAsia="ru-RU"/>
        </w:rPr>
        <w:t>й</w:t>
      </w:r>
      <w:r w:rsidR="002F7713" w:rsidRPr="00765F94">
        <w:rPr>
          <w:rFonts w:eastAsia="Times New Roman"/>
          <w:lang w:eastAsia="ru-RU"/>
        </w:rPr>
        <w:t xml:space="preserve"> орган</w:t>
      </w:r>
      <w:r w:rsidR="001015EC" w:rsidRPr="00765F94">
        <w:rPr>
          <w:rFonts w:eastAsia="Times New Roman"/>
          <w:lang w:eastAsia="ru-RU"/>
        </w:rPr>
        <w:t xml:space="preserve"> для подготовки заключения о</w:t>
      </w:r>
      <w:r w:rsidR="00585226" w:rsidRPr="00765F94">
        <w:rPr>
          <w:rFonts w:eastAsia="Times New Roman"/>
          <w:lang w:eastAsia="ru-RU"/>
        </w:rPr>
        <w:t xml:space="preserve"> </w:t>
      </w:r>
      <w:r w:rsidR="001015EC" w:rsidRPr="00765F94">
        <w:rPr>
          <w:rFonts w:eastAsia="Times New Roman"/>
          <w:lang w:eastAsia="ru-RU"/>
        </w:rPr>
        <w:t>результатах экспертизы поступил</w:t>
      </w:r>
      <w:r w:rsidRPr="00765F94">
        <w:rPr>
          <w:rFonts w:eastAsia="Times New Roman"/>
          <w:lang w:eastAsia="ru-RU"/>
        </w:rPr>
        <w:t>о</w:t>
      </w:r>
      <w:r w:rsidR="001015EC" w:rsidRPr="00765F94">
        <w:rPr>
          <w:rFonts w:eastAsia="Times New Roman"/>
          <w:lang w:eastAsia="ru-RU"/>
        </w:rPr>
        <w:t xml:space="preserve"> </w:t>
      </w:r>
      <w:r w:rsidR="00EF2855">
        <w:rPr>
          <w:rFonts w:eastAsia="Times New Roman"/>
          <w:lang w:eastAsia="ru-RU"/>
        </w:rPr>
        <w:t>4</w:t>
      </w:r>
      <w:r w:rsidR="00725B42">
        <w:rPr>
          <w:rFonts w:eastAsia="Times New Roman"/>
          <w:lang w:eastAsia="ru-RU"/>
        </w:rPr>
        <w:t xml:space="preserve"> </w:t>
      </w:r>
      <w:r w:rsidRPr="00765F94">
        <w:rPr>
          <w:rFonts w:eastAsia="Times New Roman"/>
          <w:lang w:eastAsia="ru-RU"/>
        </w:rPr>
        <w:t>НПА</w:t>
      </w:r>
      <w:r w:rsidR="001015EC" w:rsidRPr="00765F94">
        <w:rPr>
          <w:rFonts w:eastAsia="Times New Roman"/>
          <w:lang w:eastAsia="ru-RU"/>
        </w:rPr>
        <w:t>.</w:t>
      </w:r>
    </w:p>
    <w:p w:rsidR="00130E2A" w:rsidRDefault="008F63B2" w:rsidP="00130E2A">
      <w:pPr>
        <w:shd w:val="clear" w:color="auto" w:fill="FFFFFF"/>
        <w:spacing w:line="312" w:lineRule="auto"/>
        <w:jc w:val="center"/>
        <w:rPr>
          <w:rFonts w:eastAsia="Times New Roman"/>
          <w:b/>
          <w:lang w:eastAsia="ru-RU"/>
        </w:rPr>
      </w:pPr>
      <w:r w:rsidRPr="00765F94">
        <w:rPr>
          <w:rFonts w:eastAsia="Times New Roman"/>
          <w:b/>
          <w:lang w:eastAsia="ru-RU"/>
        </w:rPr>
        <w:t xml:space="preserve">Экспертизу нормативных правовых актов в </w:t>
      </w:r>
      <w:r w:rsidR="00130E2A">
        <w:rPr>
          <w:rFonts w:eastAsia="Times New Roman"/>
          <w:b/>
          <w:lang w:eastAsia="ru-RU"/>
        </w:rPr>
        <w:t>1 полугодии</w:t>
      </w:r>
      <w:r w:rsidR="00585226" w:rsidRPr="00765F94">
        <w:rPr>
          <w:rFonts w:eastAsia="Times New Roman"/>
          <w:b/>
          <w:lang w:eastAsia="ru-RU"/>
        </w:rPr>
        <w:t xml:space="preserve"> </w:t>
      </w:r>
    </w:p>
    <w:p w:rsidR="001015EC" w:rsidRDefault="00585226" w:rsidP="00130E2A">
      <w:pPr>
        <w:shd w:val="clear" w:color="auto" w:fill="FFFFFF"/>
        <w:spacing w:line="312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65F94">
        <w:rPr>
          <w:rFonts w:eastAsia="Times New Roman"/>
          <w:b/>
          <w:lang w:eastAsia="ru-RU"/>
        </w:rPr>
        <w:t>2018</w:t>
      </w:r>
      <w:r w:rsidR="008F63B2" w:rsidRPr="00765F94">
        <w:rPr>
          <w:rFonts w:eastAsia="Times New Roman"/>
          <w:b/>
          <w:lang w:eastAsia="ru-RU"/>
        </w:rPr>
        <w:t xml:space="preserve"> год</w:t>
      </w:r>
      <w:r w:rsidRPr="00765F94">
        <w:rPr>
          <w:rFonts w:eastAsia="Times New Roman"/>
          <w:b/>
          <w:lang w:eastAsia="ru-RU"/>
        </w:rPr>
        <w:t>а</w:t>
      </w:r>
      <w:r w:rsidR="008F63B2" w:rsidRPr="00765F94">
        <w:rPr>
          <w:rFonts w:eastAsia="Times New Roman"/>
          <w:b/>
          <w:lang w:eastAsia="ru-RU"/>
        </w:rPr>
        <w:t xml:space="preserve"> осуществляли</w:t>
      </w:r>
      <w:r w:rsidR="008F63B2" w:rsidRPr="00765F94">
        <w:rPr>
          <w:rFonts w:eastAsia="Times New Roman"/>
          <w:b/>
          <w:sz w:val="24"/>
          <w:szCs w:val="24"/>
          <w:lang w:eastAsia="ru-RU"/>
        </w:rPr>
        <w:t>:</w:t>
      </w:r>
    </w:p>
    <w:p w:rsidR="00130E2A" w:rsidRDefault="00130E2A" w:rsidP="00130E2A">
      <w:pPr>
        <w:shd w:val="clear" w:color="auto" w:fill="FFFFFF"/>
        <w:spacing w:line="312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81725" cy="24860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1ABF" w:rsidRDefault="00081ABF" w:rsidP="00EA4F00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 xml:space="preserve">Всего в </w:t>
      </w:r>
      <w:r w:rsidR="00154F0C" w:rsidRPr="00765F94">
        <w:rPr>
          <w:rFonts w:eastAsia="Times New Roman"/>
          <w:lang w:eastAsia="ru-RU"/>
        </w:rPr>
        <w:t xml:space="preserve">1 квартале </w:t>
      </w:r>
      <w:r w:rsidRPr="00765F94">
        <w:rPr>
          <w:rFonts w:eastAsia="Times New Roman"/>
          <w:lang w:eastAsia="ru-RU"/>
        </w:rPr>
        <w:t>201</w:t>
      </w:r>
      <w:r w:rsidR="00154F0C" w:rsidRPr="00765F94">
        <w:rPr>
          <w:rFonts w:eastAsia="Times New Roman"/>
          <w:lang w:eastAsia="ru-RU"/>
        </w:rPr>
        <w:t>8</w:t>
      </w:r>
      <w:r w:rsidRPr="00765F94">
        <w:rPr>
          <w:rFonts w:eastAsia="Times New Roman"/>
          <w:lang w:eastAsia="ru-RU"/>
        </w:rPr>
        <w:t xml:space="preserve"> год</w:t>
      </w:r>
      <w:r w:rsidR="00154F0C" w:rsidRPr="00765F94">
        <w:rPr>
          <w:rFonts w:eastAsia="Times New Roman"/>
          <w:lang w:eastAsia="ru-RU"/>
        </w:rPr>
        <w:t>а</w:t>
      </w:r>
      <w:r w:rsidRPr="00765F94">
        <w:rPr>
          <w:rFonts w:eastAsia="Times New Roman"/>
          <w:lang w:eastAsia="ru-RU"/>
        </w:rPr>
        <w:t xml:space="preserve"> по результатам рассмотрения материалов об</w:t>
      </w:r>
      <w:r w:rsidR="00104839" w:rsidRPr="00765F94">
        <w:rPr>
          <w:rFonts w:eastAsia="Times New Roman"/>
          <w:lang w:eastAsia="ru-RU"/>
        </w:rPr>
        <w:t> </w:t>
      </w:r>
      <w:r w:rsidRPr="00765F94">
        <w:rPr>
          <w:rFonts w:eastAsia="Times New Roman"/>
          <w:lang w:eastAsia="ru-RU"/>
        </w:rPr>
        <w:t xml:space="preserve">экспертизе НПА вынесено </w:t>
      </w:r>
      <w:r w:rsidR="001E0A0C">
        <w:rPr>
          <w:rFonts w:eastAsia="Times New Roman"/>
          <w:lang w:eastAsia="ru-RU"/>
        </w:rPr>
        <w:t>7</w:t>
      </w:r>
      <w:r w:rsidR="00EF3C69">
        <w:rPr>
          <w:rFonts w:eastAsia="Times New Roman"/>
          <w:lang w:eastAsia="ru-RU"/>
        </w:rPr>
        <w:t xml:space="preserve"> заключений</w:t>
      </w:r>
      <w:r w:rsidR="00825263">
        <w:rPr>
          <w:rFonts w:eastAsia="Times New Roman"/>
          <w:lang w:eastAsia="ru-RU"/>
        </w:rPr>
        <w:t>, из них:</w:t>
      </w:r>
    </w:p>
    <w:p w:rsidR="00EF3C69" w:rsidRPr="00EF3C69" w:rsidRDefault="00EF3C69" w:rsidP="00EF3C69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 w:rsidRPr="00EF3C69">
        <w:rPr>
          <w:rFonts w:eastAsia="Times New Roman"/>
          <w:lang w:eastAsia="ru-RU"/>
        </w:rPr>
        <w:t xml:space="preserve">– </w:t>
      </w:r>
      <w:r w:rsidR="007D2F61">
        <w:rPr>
          <w:rFonts w:eastAsia="Times New Roman"/>
          <w:lang w:eastAsia="ru-RU"/>
        </w:rPr>
        <w:t>3 заключения (42,9</w:t>
      </w:r>
      <w:r w:rsidRPr="00EF3C69">
        <w:rPr>
          <w:rFonts w:eastAsia="Times New Roman"/>
          <w:lang w:eastAsia="ru-RU"/>
        </w:rPr>
        <w:t xml:space="preserve">%) </w:t>
      </w:r>
      <w:proofErr w:type="gramStart"/>
      <w:r w:rsidRPr="00EF3C69">
        <w:rPr>
          <w:rFonts w:eastAsia="Times New Roman"/>
          <w:lang w:eastAsia="ru-RU"/>
        </w:rPr>
        <w:t>положите</w:t>
      </w:r>
      <w:r>
        <w:rPr>
          <w:rFonts w:eastAsia="Times New Roman"/>
          <w:lang w:eastAsia="ru-RU"/>
        </w:rPr>
        <w:t>льных</w:t>
      </w:r>
      <w:proofErr w:type="gramEnd"/>
      <w:r w:rsidRPr="00EF3C69">
        <w:rPr>
          <w:rFonts w:eastAsia="Times New Roman"/>
          <w:lang w:eastAsia="ru-RU"/>
        </w:rPr>
        <w:t>;</w:t>
      </w:r>
    </w:p>
    <w:p w:rsidR="00EF3C69" w:rsidRPr="00EF3C69" w:rsidRDefault="00EF3C69" w:rsidP="00EF3C69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 w:rsidRPr="00EF3C69">
        <w:rPr>
          <w:rFonts w:eastAsia="Times New Roman"/>
          <w:lang w:eastAsia="ru-RU"/>
        </w:rPr>
        <w:t xml:space="preserve">– </w:t>
      </w:r>
      <w:r w:rsidR="007D2F61">
        <w:rPr>
          <w:rFonts w:eastAsia="Times New Roman"/>
          <w:lang w:eastAsia="ru-RU"/>
        </w:rPr>
        <w:t>4</w:t>
      </w:r>
      <w:r w:rsidRPr="00EF3C69">
        <w:rPr>
          <w:rFonts w:eastAsia="Times New Roman"/>
          <w:lang w:eastAsia="ru-RU"/>
        </w:rPr>
        <w:t xml:space="preserve"> </w:t>
      </w:r>
      <w:r w:rsidR="007D2F61">
        <w:rPr>
          <w:rFonts w:eastAsia="Times New Roman"/>
          <w:lang w:eastAsia="ru-RU"/>
        </w:rPr>
        <w:t>заключения (57,1</w:t>
      </w:r>
      <w:r>
        <w:rPr>
          <w:rFonts w:eastAsia="Times New Roman"/>
          <w:lang w:eastAsia="ru-RU"/>
        </w:rPr>
        <w:t xml:space="preserve">%) </w:t>
      </w:r>
      <w:proofErr w:type="gramStart"/>
      <w:r>
        <w:rPr>
          <w:rFonts w:eastAsia="Times New Roman"/>
          <w:lang w:eastAsia="ru-RU"/>
        </w:rPr>
        <w:t>отрицательных</w:t>
      </w:r>
      <w:proofErr w:type="gramEnd"/>
      <w:r w:rsidRPr="00EF3C69">
        <w:rPr>
          <w:rFonts w:eastAsia="Times New Roman"/>
          <w:lang w:eastAsia="ru-RU"/>
        </w:rPr>
        <w:t>.</w:t>
      </w:r>
    </w:p>
    <w:p w:rsidR="00E435A3" w:rsidRPr="00765F94" w:rsidRDefault="00E86805" w:rsidP="00EA4F00">
      <w:pPr>
        <w:spacing w:line="312" w:lineRule="auto"/>
        <w:ind w:firstLine="709"/>
        <w:jc w:val="center"/>
        <w:rPr>
          <w:rFonts w:eastAsia="Times New Roman"/>
          <w:b/>
          <w:lang w:eastAsia="ru-RU"/>
        </w:rPr>
      </w:pPr>
      <w:r w:rsidRPr="00765F94">
        <w:rPr>
          <w:b/>
        </w:rPr>
        <w:t>Количество заключений по экспертизе</w:t>
      </w:r>
      <w:r w:rsidR="00104839" w:rsidRPr="00765F94">
        <w:rPr>
          <w:b/>
          <w:noProof/>
          <w:lang w:eastAsia="ru-RU"/>
        </w:rPr>
        <w:t xml:space="preserve"> </w:t>
      </w:r>
      <w:r w:rsidR="00725B42">
        <w:rPr>
          <w:b/>
          <w:noProof/>
          <w:lang w:eastAsia="ru-RU"/>
        </w:rPr>
        <w:t>за 1 полугодие</w:t>
      </w:r>
      <w:r w:rsidR="00154F0C" w:rsidRPr="00765F94">
        <w:rPr>
          <w:b/>
          <w:noProof/>
          <w:lang w:eastAsia="ru-RU"/>
        </w:rPr>
        <w:t xml:space="preserve"> 2018 года</w:t>
      </w:r>
    </w:p>
    <w:p w:rsidR="00130E2A" w:rsidRPr="00765F94" w:rsidRDefault="00130E2A" w:rsidP="00EF3C69">
      <w:pPr>
        <w:shd w:val="clear" w:color="auto" w:fill="FFFFFF"/>
        <w:tabs>
          <w:tab w:val="left" w:pos="9781"/>
        </w:tabs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257925" cy="25241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B104E" w:rsidRDefault="00EB104E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</w:p>
    <w:p w:rsidR="00F26FF5" w:rsidRPr="00765F94" w:rsidRDefault="00F26FF5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lastRenderedPageBreak/>
        <w:t xml:space="preserve">Причинами вынесения отрицательного заключения послужили: </w:t>
      </w:r>
    </w:p>
    <w:p w:rsidR="00F26FF5" w:rsidRPr="00765F94" w:rsidRDefault="00F26FF5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нарушения порядка проведения экспертизы;</w:t>
      </w:r>
    </w:p>
    <w:p w:rsidR="00F26FF5" w:rsidRPr="00765F94" w:rsidRDefault="00F26FF5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неоднозначная трактовка положений;</w:t>
      </w:r>
    </w:p>
    <w:p w:rsidR="00F26FF5" w:rsidRPr="00765F94" w:rsidRDefault="00F26FF5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наличие признаков непрозрачности административных процедур;</w:t>
      </w:r>
    </w:p>
    <w:p w:rsidR="00F26FF5" w:rsidRPr="00765F94" w:rsidRDefault="00F26FF5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наличие неопределенной, двусмысленной терминологии;</w:t>
      </w:r>
    </w:p>
    <w:p w:rsidR="00F26FF5" w:rsidRPr="00765F94" w:rsidRDefault="00F26FF5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 xml:space="preserve">наличие требований представления излишних документов. </w:t>
      </w:r>
    </w:p>
    <w:p w:rsidR="00F26FF5" w:rsidRPr="00765F94" w:rsidRDefault="00585226" w:rsidP="00236151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 xml:space="preserve">Так, по результатам экспертизы постановления </w:t>
      </w:r>
      <w:r w:rsidR="00F26FF5" w:rsidRPr="00765F94">
        <w:rPr>
          <w:rFonts w:eastAsia="Times New Roman"/>
          <w:lang w:eastAsia="ru-RU"/>
        </w:rPr>
        <w:t xml:space="preserve">Правительства </w:t>
      </w:r>
      <w:r w:rsidR="0032489F" w:rsidRPr="00765F94">
        <w:rPr>
          <w:rFonts w:eastAsia="Times New Roman"/>
          <w:lang w:eastAsia="ru-RU"/>
        </w:rPr>
        <w:t xml:space="preserve">автономного округа </w:t>
      </w:r>
      <w:r w:rsidR="00F26FF5" w:rsidRPr="00765F94">
        <w:rPr>
          <w:rFonts w:eastAsia="Times New Roman"/>
          <w:lang w:eastAsia="ru-RU"/>
        </w:rPr>
        <w:t xml:space="preserve">от 9 октября 2013 года № 423-п «О государственной программе Ханты-Мансийского автономного округа – Югры «Развитие жилищно-коммунального комплекса и повышение энергетической эффективности </w:t>
      </w:r>
      <w:proofErr w:type="gramStart"/>
      <w:r w:rsidR="00F26FF5" w:rsidRPr="00765F94">
        <w:rPr>
          <w:rFonts w:eastAsia="Times New Roman"/>
          <w:lang w:eastAsia="ru-RU"/>
        </w:rPr>
        <w:t>в</w:t>
      </w:r>
      <w:proofErr w:type="gramEnd"/>
      <w:r w:rsidR="00F26FF5" w:rsidRPr="00765F94">
        <w:rPr>
          <w:rFonts w:eastAsia="Times New Roman"/>
          <w:lang w:eastAsia="ru-RU"/>
        </w:rPr>
        <w:t xml:space="preserve"> </w:t>
      </w:r>
      <w:proofErr w:type="gramStart"/>
      <w:r w:rsidR="00F26FF5" w:rsidRPr="00765F94">
        <w:rPr>
          <w:rFonts w:eastAsia="Times New Roman"/>
          <w:lang w:eastAsia="ru-RU"/>
        </w:rPr>
        <w:t>Ханты-Мансийском</w:t>
      </w:r>
      <w:proofErr w:type="gramEnd"/>
      <w:r w:rsidR="00F26FF5" w:rsidRPr="00765F94">
        <w:rPr>
          <w:rFonts w:eastAsia="Times New Roman"/>
          <w:lang w:eastAsia="ru-RU"/>
        </w:rPr>
        <w:t xml:space="preserve"> автономном округе – Югре </w:t>
      </w:r>
      <w:r w:rsidR="0032489F" w:rsidRPr="00765F94">
        <w:rPr>
          <w:rFonts w:eastAsia="Times New Roman"/>
          <w:lang w:eastAsia="ru-RU"/>
        </w:rPr>
        <w:br/>
      </w:r>
      <w:r w:rsidR="00F26FF5" w:rsidRPr="00765F94">
        <w:rPr>
          <w:rFonts w:eastAsia="Times New Roman"/>
          <w:lang w:eastAsia="ru-RU"/>
        </w:rPr>
        <w:t>на</w:t>
      </w:r>
      <w:r w:rsidR="0032489F" w:rsidRPr="00765F94">
        <w:rPr>
          <w:rFonts w:eastAsia="Times New Roman"/>
          <w:lang w:eastAsia="ru-RU"/>
        </w:rPr>
        <w:t> </w:t>
      </w:r>
      <w:r w:rsidR="00F26FF5" w:rsidRPr="00765F94">
        <w:rPr>
          <w:rFonts w:eastAsia="Times New Roman"/>
          <w:lang w:eastAsia="ru-RU"/>
        </w:rPr>
        <w:t>2016-2020</w:t>
      </w:r>
      <w:r w:rsidR="0032489F" w:rsidRPr="00765F94">
        <w:rPr>
          <w:rFonts w:eastAsia="Times New Roman"/>
          <w:lang w:eastAsia="ru-RU"/>
        </w:rPr>
        <w:t> </w:t>
      </w:r>
      <w:r w:rsidR="00F26FF5" w:rsidRPr="00765F94">
        <w:rPr>
          <w:rFonts w:eastAsia="Times New Roman"/>
          <w:lang w:eastAsia="ru-RU"/>
        </w:rPr>
        <w:t>годы</w:t>
      </w:r>
      <w:r w:rsidRPr="00765F94">
        <w:rPr>
          <w:rFonts w:eastAsia="Times New Roman"/>
          <w:lang w:eastAsia="ru-RU"/>
        </w:rPr>
        <w:t xml:space="preserve">» </w:t>
      </w:r>
      <w:r w:rsidR="00DD45F3" w:rsidRPr="00765F94">
        <w:rPr>
          <w:rFonts w:eastAsia="Times New Roman"/>
          <w:lang w:eastAsia="ru-RU"/>
        </w:rPr>
        <w:t>уполномоченным органом вынесено отрицательное заключение по причине</w:t>
      </w:r>
      <w:r w:rsidR="00F26FF5" w:rsidRPr="00765F94">
        <w:rPr>
          <w:rFonts w:eastAsia="Times New Roman"/>
          <w:lang w:eastAsia="ru-RU"/>
        </w:rPr>
        <w:t>:</w:t>
      </w:r>
    </w:p>
    <w:p w:rsidR="00E62C0F" w:rsidRPr="00765F94" w:rsidRDefault="00585226" w:rsidP="00EA4F00">
      <w:pPr>
        <w:pStyle w:val="a9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нарушен</w:t>
      </w:r>
      <w:r w:rsidR="00DD45F3" w:rsidRPr="00765F94">
        <w:rPr>
          <w:rFonts w:eastAsia="Times New Roman"/>
          <w:lang w:eastAsia="ru-RU"/>
        </w:rPr>
        <w:t>ия</w:t>
      </w:r>
      <w:r w:rsidRPr="00765F94">
        <w:rPr>
          <w:rFonts w:eastAsia="Times New Roman"/>
          <w:lang w:eastAsia="ru-RU"/>
        </w:rPr>
        <w:t xml:space="preserve"> требовани</w:t>
      </w:r>
      <w:r w:rsidR="00407E73">
        <w:rPr>
          <w:rFonts w:eastAsia="Times New Roman"/>
          <w:lang w:eastAsia="ru-RU"/>
        </w:rPr>
        <w:t>й</w:t>
      </w:r>
      <w:r w:rsidRPr="00765F94">
        <w:rPr>
          <w:rFonts w:eastAsia="Times New Roman"/>
          <w:lang w:eastAsia="ru-RU"/>
        </w:rPr>
        <w:t xml:space="preserve"> к процедуре ее проведения (некачественно составлен сводный отчет)</w:t>
      </w:r>
      <w:r w:rsidR="00E62C0F" w:rsidRPr="00765F94">
        <w:rPr>
          <w:rFonts w:eastAsia="Times New Roman"/>
          <w:lang w:eastAsia="ru-RU"/>
        </w:rPr>
        <w:t>;</w:t>
      </w:r>
    </w:p>
    <w:p w:rsidR="00E62C0F" w:rsidRPr="00765F94" w:rsidRDefault="00E62C0F" w:rsidP="00EA4F00">
      <w:pPr>
        <w:pStyle w:val="a9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 xml:space="preserve">не </w:t>
      </w:r>
      <w:proofErr w:type="gramStart"/>
      <w:r w:rsidRPr="00765F94">
        <w:rPr>
          <w:rFonts w:eastAsia="Times New Roman"/>
          <w:lang w:eastAsia="ru-RU"/>
        </w:rPr>
        <w:t>указано</w:t>
      </w:r>
      <w:proofErr w:type="gramEnd"/>
      <w:r w:rsidRPr="00765F94">
        <w:rPr>
          <w:rFonts w:eastAsia="Times New Roman"/>
          <w:lang w:eastAsia="ru-RU"/>
        </w:rPr>
        <w:t xml:space="preserve"> в каких днях (календарных или рабочих) исчисляются сроки;</w:t>
      </w:r>
    </w:p>
    <w:p w:rsidR="00E62C0F" w:rsidRPr="00765F94" w:rsidRDefault="003C1BCB" w:rsidP="00EA4F00">
      <w:pPr>
        <w:pStyle w:val="a9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необоснованного</w:t>
      </w:r>
      <w:r w:rsidR="00E62C0F" w:rsidRPr="00765F94">
        <w:rPr>
          <w:rFonts w:eastAsia="Times New Roman"/>
          <w:lang w:eastAsia="ru-RU"/>
        </w:rPr>
        <w:t xml:space="preserve"> требовани</w:t>
      </w:r>
      <w:r w:rsidRPr="00765F94">
        <w:rPr>
          <w:rFonts w:eastAsia="Times New Roman"/>
          <w:lang w:eastAsia="ru-RU"/>
        </w:rPr>
        <w:t>я</w:t>
      </w:r>
      <w:r w:rsidR="00EB104E">
        <w:rPr>
          <w:rFonts w:eastAsia="Times New Roman"/>
          <w:lang w:eastAsia="ru-RU"/>
        </w:rPr>
        <w:t xml:space="preserve"> представления</w:t>
      </w:r>
      <w:r w:rsidR="00E62C0F" w:rsidRPr="00765F94">
        <w:rPr>
          <w:rFonts w:eastAsia="Times New Roman"/>
          <w:lang w:eastAsia="ru-RU"/>
        </w:rPr>
        <w:t xml:space="preserve"> документов, которые могут быть получены посредством межведомственного информационного взаимодействия:</w:t>
      </w:r>
    </w:p>
    <w:p w:rsidR="00E62C0F" w:rsidRPr="00765F94" w:rsidRDefault="003C1BCB" w:rsidP="00EA4F00">
      <w:pPr>
        <w:pStyle w:val="a9"/>
        <w:shd w:val="clear" w:color="auto" w:fill="FFFFFF"/>
        <w:spacing w:line="312" w:lineRule="auto"/>
        <w:ind w:left="0" w:firstLine="709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– </w:t>
      </w:r>
      <w:r w:rsidR="00E62C0F" w:rsidRPr="00765F94">
        <w:rPr>
          <w:rFonts w:eastAsia="Times New Roman"/>
          <w:lang w:eastAsia="ru-RU"/>
        </w:rPr>
        <w:t>копии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62C0F" w:rsidRPr="00765F94" w:rsidRDefault="003C1BCB" w:rsidP="00EA4F00">
      <w:pPr>
        <w:pStyle w:val="a9"/>
        <w:shd w:val="clear" w:color="auto" w:fill="FFFFFF"/>
        <w:spacing w:line="312" w:lineRule="auto"/>
        <w:ind w:left="0" w:firstLine="709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– </w:t>
      </w:r>
      <w:r w:rsidR="00E62C0F" w:rsidRPr="00765F94">
        <w:rPr>
          <w:rFonts w:eastAsia="Times New Roman"/>
          <w:lang w:eastAsia="ru-RU"/>
        </w:rPr>
        <w:t xml:space="preserve">справки налогового органа, </w:t>
      </w:r>
      <w:r w:rsidR="00407E73" w:rsidRPr="00765F94">
        <w:rPr>
          <w:rFonts w:eastAsia="Times New Roman"/>
          <w:lang w:eastAsia="ru-RU"/>
        </w:rPr>
        <w:t>подтверждающ</w:t>
      </w:r>
      <w:r w:rsidR="00EB104E">
        <w:rPr>
          <w:rFonts w:eastAsia="Times New Roman"/>
          <w:lang w:eastAsia="ru-RU"/>
        </w:rPr>
        <w:t>ей</w:t>
      </w:r>
      <w:r w:rsidR="00E62C0F" w:rsidRPr="00765F94">
        <w:rPr>
          <w:rFonts w:eastAsia="Times New Roman"/>
          <w:lang w:eastAsia="ru-RU"/>
        </w:rPr>
        <w:t xml:space="preserve"> отсутствие задолженности по уплате налогов и иных обязательных </w:t>
      </w:r>
      <w:r w:rsidR="00407E73">
        <w:rPr>
          <w:rFonts w:eastAsia="Times New Roman"/>
          <w:lang w:eastAsia="ru-RU"/>
        </w:rPr>
        <w:t>платежей в бюджеты всех уровней</w:t>
      </w:r>
      <w:r w:rsidR="00E62C0F" w:rsidRPr="00765F94">
        <w:rPr>
          <w:rFonts w:eastAsia="Times New Roman"/>
          <w:lang w:eastAsia="ru-RU"/>
        </w:rPr>
        <w:t>;</w:t>
      </w:r>
    </w:p>
    <w:p w:rsidR="00585226" w:rsidRPr="00765F94" w:rsidRDefault="00E62C0F" w:rsidP="00EA4F00">
      <w:pPr>
        <w:pStyle w:val="a9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отсутств</w:t>
      </w:r>
      <w:r w:rsidR="003C1BCB" w:rsidRPr="00765F94">
        <w:rPr>
          <w:rFonts w:eastAsia="Times New Roman"/>
          <w:lang w:eastAsia="ru-RU"/>
        </w:rPr>
        <w:t>ия</w:t>
      </w:r>
      <w:r w:rsidRPr="00765F94">
        <w:rPr>
          <w:rFonts w:eastAsia="Times New Roman"/>
          <w:lang w:eastAsia="ru-RU"/>
        </w:rPr>
        <w:t xml:space="preserve"> норм, содержащи</w:t>
      </w:r>
      <w:r w:rsidR="003C1BCB" w:rsidRPr="00765F94">
        <w:rPr>
          <w:rFonts w:eastAsia="Times New Roman"/>
          <w:lang w:eastAsia="ru-RU"/>
        </w:rPr>
        <w:t xml:space="preserve">х </w:t>
      </w:r>
      <w:r w:rsidRPr="00765F94">
        <w:rPr>
          <w:rFonts w:eastAsia="Times New Roman"/>
          <w:lang w:eastAsia="ru-RU"/>
        </w:rPr>
        <w:t>положения о проверке претендентов на получение субсидии на соответствие установленным требованиям.</w:t>
      </w:r>
    </w:p>
    <w:p w:rsidR="00A91795" w:rsidRPr="00765F94" w:rsidRDefault="00A91795" w:rsidP="00EA4F00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</w:p>
    <w:p w:rsidR="0051720C" w:rsidRPr="00765F94" w:rsidRDefault="0051720C" w:rsidP="005E12BE">
      <w:pPr>
        <w:shd w:val="clear" w:color="auto" w:fill="FFFFFF"/>
        <w:spacing w:line="312" w:lineRule="auto"/>
        <w:ind w:firstLine="709"/>
        <w:jc w:val="both"/>
        <w:rPr>
          <w:rFonts w:eastAsia="Times New Roman"/>
          <w:b/>
          <w:lang w:eastAsia="ru-RU"/>
        </w:rPr>
      </w:pPr>
      <w:r w:rsidRPr="00765F94">
        <w:rPr>
          <w:rFonts w:eastAsia="Times New Roman"/>
          <w:b/>
          <w:lang w:val="en-US" w:eastAsia="ru-RU"/>
        </w:rPr>
        <w:t>III</w:t>
      </w:r>
      <w:r w:rsidRPr="00765F94">
        <w:rPr>
          <w:rFonts w:eastAsia="Times New Roman"/>
          <w:b/>
          <w:lang w:eastAsia="ru-RU"/>
        </w:rPr>
        <w:t>. Результаты проведения оценки фактического воздействия:</w:t>
      </w:r>
    </w:p>
    <w:p w:rsidR="00E92189" w:rsidRDefault="0063093D" w:rsidP="00E92189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В</w:t>
      </w:r>
      <w:r w:rsidR="00802960" w:rsidRPr="00765F94">
        <w:rPr>
          <w:rFonts w:eastAsia="Times New Roman"/>
          <w:lang w:eastAsia="ru-RU"/>
        </w:rPr>
        <w:t xml:space="preserve"> </w:t>
      </w:r>
      <w:r w:rsidR="005E12BE">
        <w:rPr>
          <w:rFonts w:eastAsia="Times New Roman"/>
          <w:lang w:eastAsia="ru-RU"/>
        </w:rPr>
        <w:t>1 полугодии</w:t>
      </w:r>
      <w:r w:rsidR="00F07365" w:rsidRPr="00765F94">
        <w:rPr>
          <w:rFonts w:eastAsia="Times New Roman"/>
          <w:lang w:eastAsia="ru-RU"/>
        </w:rPr>
        <w:t xml:space="preserve"> </w:t>
      </w:r>
      <w:r w:rsidR="00802960" w:rsidRPr="00765F94">
        <w:rPr>
          <w:rFonts w:eastAsia="Times New Roman"/>
          <w:lang w:eastAsia="ru-RU"/>
        </w:rPr>
        <w:t>201</w:t>
      </w:r>
      <w:r w:rsidR="00F07365" w:rsidRPr="00765F94">
        <w:rPr>
          <w:rFonts w:eastAsia="Times New Roman"/>
          <w:lang w:eastAsia="ru-RU"/>
        </w:rPr>
        <w:t>8</w:t>
      </w:r>
      <w:r w:rsidR="00802960" w:rsidRPr="00765F94">
        <w:rPr>
          <w:rFonts w:eastAsia="Times New Roman"/>
          <w:lang w:eastAsia="ru-RU"/>
        </w:rPr>
        <w:t xml:space="preserve"> год</w:t>
      </w:r>
      <w:r w:rsidR="00F07365" w:rsidRPr="00765F94">
        <w:rPr>
          <w:rFonts w:eastAsia="Times New Roman"/>
          <w:lang w:eastAsia="ru-RU"/>
        </w:rPr>
        <w:t>а</w:t>
      </w:r>
      <w:r w:rsidR="00802960" w:rsidRPr="00765F94">
        <w:rPr>
          <w:rFonts w:eastAsia="Times New Roman"/>
          <w:lang w:eastAsia="ru-RU"/>
        </w:rPr>
        <w:t xml:space="preserve"> в </w:t>
      </w:r>
      <w:r w:rsidR="00F52DBD" w:rsidRPr="00765F94">
        <w:rPr>
          <w:rFonts w:eastAsia="Times New Roman"/>
          <w:lang w:eastAsia="ru-RU"/>
        </w:rPr>
        <w:t>уполномоченный орган</w:t>
      </w:r>
      <w:r w:rsidR="00802960" w:rsidRPr="00765F94">
        <w:rPr>
          <w:rFonts w:eastAsia="Times New Roman"/>
          <w:lang w:eastAsia="ru-RU"/>
        </w:rPr>
        <w:t xml:space="preserve"> для подготовки заключения о</w:t>
      </w:r>
      <w:r w:rsidR="009175CC">
        <w:rPr>
          <w:rFonts w:eastAsia="Times New Roman"/>
          <w:lang w:eastAsia="ru-RU"/>
        </w:rPr>
        <w:t xml:space="preserve"> </w:t>
      </w:r>
      <w:r w:rsidR="00802960" w:rsidRPr="00765F94">
        <w:rPr>
          <w:rFonts w:eastAsia="Times New Roman"/>
          <w:lang w:eastAsia="ru-RU"/>
        </w:rPr>
        <w:t xml:space="preserve">результатах </w:t>
      </w:r>
      <w:r w:rsidRPr="00765F94">
        <w:rPr>
          <w:rFonts w:eastAsia="Times New Roman"/>
          <w:lang w:eastAsia="ru-RU"/>
        </w:rPr>
        <w:t>ОФВ</w:t>
      </w:r>
      <w:r w:rsidR="00802960" w:rsidRPr="00765F94">
        <w:rPr>
          <w:rFonts w:eastAsia="Times New Roman"/>
          <w:lang w:eastAsia="ru-RU"/>
        </w:rPr>
        <w:t xml:space="preserve"> поступил</w:t>
      </w:r>
      <w:r w:rsidRPr="00765F94">
        <w:rPr>
          <w:rFonts w:eastAsia="Times New Roman"/>
          <w:lang w:eastAsia="ru-RU"/>
        </w:rPr>
        <w:t>о</w:t>
      </w:r>
      <w:r w:rsidR="00802960" w:rsidRPr="00765F94">
        <w:rPr>
          <w:rFonts w:eastAsia="Times New Roman"/>
          <w:lang w:eastAsia="ru-RU"/>
        </w:rPr>
        <w:t xml:space="preserve"> </w:t>
      </w:r>
      <w:r w:rsidR="00EB104E">
        <w:rPr>
          <w:rFonts w:eastAsia="Times New Roman"/>
          <w:lang w:eastAsia="ru-RU"/>
        </w:rPr>
        <w:t>2</w:t>
      </w:r>
      <w:r w:rsidR="00802960" w:rsidRPr="00765F94">
        <w:rPr>
          <w:rFonts w:eastAsia="Times New Roman"/>
          <w:lang w:eastAsia="ru-RU"/>
        </w:rPr>
        <w:t xml:space="preserve"> </w:t>
      </w:r>
      <w:r w:rsidRPr="00765F94">
        <w:rPr>
          <w:rFonts w:eastAsia="Times New Roman"/>
          <w:lang w:eastAsia="ru-RU"/>
        </w:rPr>
        <w:t>НПА</w:t>
      </w:r>
      <w:r w:rsidR="00E92189">
        <w:rPr>
          <w:rFonts w:eastAsia="Times New Roman"/>
          <w:lang w:eastAsia="ru-RU"/>
        </w:rPr>
        <w:t>:</w:t>
      </w:r>
    </w:p>
    <w:p w:rsidR="00EA4F00" w:rsidRDefault="00E92189" w:rsidP="00E92189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п</w:t>
      </w:r>
      <w:r w:rsidR="007D2F61" w:rsidRPr="007D2F61">
        <w:rPr>
          <w:rFonts w:eastAsia="Times New Roman"/>
          <w:lang w:eastAsia="ru-RU"/>
        </w:rPr>
        <w:t xml:space="preserve">остановление Правительства </w:t>
      </w:r>
      <w:r>
        <w:rPr>
          <w:rFonts w:eastAsia="Times New Roman"/>
          <w:lang w:eastAsia="ru-RU"/>
        </w:rPr>
        <w:t xml:space="preserve">автономного округа </w:t>
      </w:r>
      <w:r w:rsidR="007D2F61" w:rsidRPr="007D2F61">
        <w:rPr>
          <w:rFonts w:eastAsia="Times New Roman"/>
          <w:lang w:eastAsia="ru-RU"/>
        </w:rPr>
        <w:t xml:space="preserve">от 18 декабря 2015 года № 476-п «О внесении изменений в постановление Правительства </w:t>
      </w:r>
      <w:r>
        <w:rPr>
          <w:rFonts w:eastAsia="Times New Roman"/>
          <w:lang w:eastAsia="ru-RU"/>
        </w:rPr>
        <w:br/>
      </w:r>
      <w:r w:rsidR="007D2F61" w:rsidRPr="007D2F61">
        <w:rPr>
          <w:rFonts w:eastAsia="Times New Roman"/>
          <w:lang w:eastAsia="ru-RU"/>
        </w:rPr>
        <w:t xml:space="preserve">Ханты-Мансийского автономного округа – Югры от 21 сентября 2005 года </w:t>
      </w:r>
      <w:r>
        <w:rPr>
          <w:rFonts w:eastAsia="Times New Roman"/>
          <w:lang w:eastAsia="ru-RU"/>
        </w:rPr>
        <w:br/>
      </w:r>
      <w:r w:rsidR="007D2F61" w:rsidRPr="007D2F61">
        <w:rPr>
          <w:rFonts w:eastAsia="Times New Roman"/>
          <w:lang w:eastAsia="ru-RU"/>
        </w:rPr>
        <w:t xml:space="preserve">№ 171-п «О Порядке представления налогоплательщиками-организациями </w:t>
      </w:r>
      <w:r w:rsidR="007D2F61" w:rsidRPr="007D2F61">
        <w:rPr>
          <w:rFonts w:eastAsia="Times New Roman"/>
          <w:lang w:eastAsia="ru-RU"/>
        </w:rPr>
        <w:lastRenderedPageBreak/>
        <w:t>информации для анализа эффективности действия льгот по налогам»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br/>
        <w:t xml:space="preserve">(орган, осуществляющий ОФВ НПА: </w:t>
      </w:r>
      <w:proofErr w:type="spellStart"/>
      <w:proofErr w:type="gramStart"/>
      <w:r>
        <w:rPr>
          <w:rFonts w:eastAsia="Times New Roman"/>
          <w:lang w:eastAsia="ru-RU"/>
        </w:rPr>
        <w:t>Депфин</w:t>
      </w:r>
      <w:proofErr w:type="spellEnd"/>
      <w:r>
        <w:rPr>
          <w:rFonts w:eastAsia="Times New Roman"/>
          <w:lang w:eastAsia="ru-RU"/>
        </w:rPr>
        <w:t xml:space="preserve"> Югры);</w:t>
      </w:r>
      <w:proofErr w:type="gramEnd"/>
    </w:p>
    <w:p w:rsidR="00E92189" w:rsidRDefault="00E92189" w:rsidP="00E92189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2) </w:t>
      </w:r>
      <w:r w:rsidRPr="00E92189">
        <w:rPr>
          <w:rFonts w:eastAsia="Times New Roman"/>
          <w:lang w:eastAsia="ru-RU"/>
        </w:rPr>
        <w:t xml:space="preserve">Закон автономного округа от 31 марта 2016 года № 23-оз </w:t>
      </w:r>
      <w:r>
        <w:rPr>
          <w:rFonts w:eastAsia="Times New Roman"/>
          <w:lang w:eastAsia="ru-RU"/>
        </w:rPr>
        <w:br/>
        <w:t>«</w:t>
      </w:r>
      <w:r w:rsidRPr="00E92189">
        <w:rPr>
          <w:rFonts w:eastAsia="Times New Roman"/>
          <w:lang w:eastAsia="ru-RU"/>
        </w:rPr>
        <w:t xml:space="preserve">О промышленной политике </w:t>
      </w:r>
      <w:proofErr w:type="gramStart"/>
      <w:r w:rsidRPr="00E92189">
        <w:rPr>
          <w:rFonts w:eastAsia="Times New Roman"/>
          <w:lang w:eastAsia="ru-RU"/>
        </w:rPr>
        <w:t>в</w:t>
      </w:r>
      <w:proofErr w:type="gramEnd"/>
      <w:r w:rsidRPr="00E92189">
        <w:rPr>
          <w:rFonts w:eastAsia="Times New Roman"/>
          <w:lang w:eastAsia="ru-RU"/>
        </w:rPr>
        <w:t xml:space="preserve"> </w:t>
      </w:r>
      <w:proofErr w:type="gramStart"/>
      <w:r w:rsidRPr="00E92189">
        <w:rPr>
          <w:rFonts w:eastAsia="Times New Roman"/>
          <w:lang w:eastAsia="ru-RU"/>
        </w:rPr>
        <w:t>Ханты-Манс</w:t>
      </w:r>
      <w:r>
        <w:rPr>
          <w:rFonts w:eastAsia="Times New Roman"/>
          <w:lang w:eastAsia="ru-RU"/>
        </w:rPr>
        <w:t>ийском</w:t>
      </w:r>
      <w:proofErr w:type="gramEnd"/>
      <w:r>
        <w:rPr>
          <w:rFonts w:eastAsia="Times New Roman"/>
          <w:lang w:eastAsia="ru-RU"/>
        </w:rPr>
        <w:t xml:space="preserve"> автономном округе – Югре»</w:t>
      </w:r>
      <w:r w:rsidRPr="00E9218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(орган, осуществляющий ОФВ НПА:</w:t>
      </w:r>
      <w:r>
        <w:rPr>
          <w:rFonts w:eastAsia="Times New Roman"/>
          <w:lang w:eastAsia="ru-RU"/>
        </w:rPr>
        <w:t xml:space="preserve"> Деппромышленности</w:t>
      </w:r>
      <w:r>
        <w:rPr>
          <w:rFonts w:eastAsia="Times New Roman"/>
          <w:lang w:eastAsia="ru-RU"/>
        </w:rPr>
        <w:t xml:space="preserve"> Югры)</w:t>
      </w:r>
      <w:r>
        <w:rPr>
          <w:rFonts w:eastAsia="Times New Roman"/>
          <w:lang w:eastAsia="ru-RU"/>
        </w:rPr>
        <w:t>.</w:t>
      </w:r>
    </w:p>
    <w:p w:rsidR="00E92189" w:rsidRPr="007D2F61" w:rsidRDefault="00E92189" w:rsidP="00E92189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</w:p>
    <w:p w:rsidR="0010328D" w:rsidRPr="00765F94" w:rsidRDefault="00C02F99" w:rsidP="00EA4F00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1 полугодии</w:t>
      </w:r>
      <w:r w:rsidR="008C1C2C" w:rsidRPr="00765F94">
        <w:rPr>
          <w:rFonts w:eastAsia="Times New Roman"/>
          <w:lang w:eastAsia="ru-RU"/>
        </w:rPr>
        <w:t xml:space="preserve"> </w:t>
      </w:r>
      <w:r w:rsidR="0010328D" w:rsidRPr="00765F94">
        <w:rPr>
          <w:rFonts w:eastAsia="Times New Roman"/>
          <w:lang w:eastAsia="ru-RU"/>
        </w:rPr>
        <w:t>201</w:t>
      </w:r>
      <w:bookmarkStart w:id="0" w:name="_GoBack"/>
      <w:bookmarkEnd w:id="0"/>
      <w:r w:rsidR="008C1C2C" w:rsidRPr="00765F94">
        <w:rPr>
          <w:rFonts w:eastAsia="Times New Roman"/>
          <w:lang w:eastAsia="ru-RU"/>
        </w:rPr>
        <w:t>8</w:t>
      </w:r>
      <w:r w:rsidR="0010328D" w:rsidRPr="00765F94">
        <w:rPr>
          <w:rFonts w:eastAsia="Times New Roman"/>
          <w:lang w:eastAsia="ru-RU"/>
        </w:rPr>
        <w:t xml:space="preserve"> год</w:t>
      </w:r>
      <w:r w:rsidR="008C1C2C" w:rsidRPr="00765F94">
        <w:rPr>
          <w:rFonts w:eastAsia="Times New Roman"/>
          <w:lang w:eastAsia="ru-RU"/>
        </w:rPr>
        <w:t>а</w:t>
      </w:r>
      <w:r w:rsidR="0010328D" w:rsidRPr="00765F94">
        <w:rPr>
          <w:rFonts w:eastAsia="Times New Roman"/>
          <w:lang w:eastAsia="ru-RU"/>
        </w:rPr>
        <w:t xml:space="preserve"> по результатам рассмотрения материалов </w:t>
      </w:r>
      <w:r>
        <w:rPr>
          <w:rFonts w:eastAsia="Times New Roman"/>
          <w:lang w:eastAsia="ru-RU"/>
        </w:rPr>
        <w:br/>
      </w:r>
      <w:r w:rsidR="0010328D" w:rsidRPr="00765F94">
        <w:rPr>
          <w:rFonts w:eastAsia="Times New Roman"/>
          <w:lang w:eastAsia="ru-RU"/>
        </w:rPr>
        <w:t>об</w:t>
      </w:r>
      <w:r>
        <w:rPr>
          <w:rFonts w:eastAsia="Times New Roman"/>
          <w:lang w:eastAsia="ru-RU"/>
        </w:rPr>
        <w:t xml:space="preserve"> </w:t>
      </w:r>
      <w:r w:rsidR="007551BF" w:rsidRPr="00765F94">
        <w:rPr>
          <w:rFonts w:eastAsia="Times New Roman"/>
          <w:lang w:eastAsia="ru-RU"/>
        </w:rPr>
        <w:t>ОФВ</w:t>
      </w:r>
      <w:r w:rsidR="0010328D" w:rsidRPr="00765F94">
        <w:rPr>
          <w:rFonts w:eastAsia="Times New Roman"/>
          <w:lang w:eastAsia="ru-RU"/>
        </w:rPr>
        <w:t xml:space="preserve"> НПА </w:t>
      </w:r>
      <w:r w:rsidR="008C1C2C" w:rsidRPr="00765F94">
        <w:rPr>
          <w:rFonts w:eastAsia="Times New Roman"/>
          <w:lang w:eastAsia="ru-RU"/>
        </w:rPr>
        <w:t>подготовлено</w:t>
      </w:r>
      <w:r w:rsidR="0010328D" w:rsidRPr="00765F9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6</w:t>
      </w:r>
      <w:r w:rsidR="007551BF" w:rsidRPr="00765F94">
        <w:rPr>
          <w:rFonts w:eastAsia="Times New Roman"/>
          <w:lang w:eastAsia="ru-RU"/>
        </w:rPr>
        <w:t xml:space="preserve"> заключени</w:t>
      </w:r>
      <w:r>
        <w:rPr>
          <w:rFonts w:eastAsia="Times New Roman"/>
          <w:lang w:eastAsia="ru-RU"/>
        </w:rPr>
        <w:t>й, из них:</w:t>
      </w:r>
    </w:p>
    <w:p w:rsidR="00C02F99" w:rsidRPr="00EF3C69" w:rsidRDefault="00C02F99" w:rsidP="00C02F99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 w:rsidRPr="00EF3C69">
        <w:rPr>
          <w:rFonts w:eastAsia="Times New Roman"/>
          <w:lang w:eastAsia="ru-RU"/>
        </w:rPr>
        <w:t xml:space="preserve">– </w:t>
      </w:r>
      <w:r>
        <w:rPr>
          <w:rFonts w:eastAsia="Times New Roman"/>
          <w:lang w:eastAsia="ru-RU"/>
        </w:rPr>
        <w:t>3 заключения (50</w:t>
      </w:r>
      <w:r w:rsidRPr="00EF3C69">
        <w:rPr>
          <w:rFonts w:eastAsia="Times New Roman"/>
          <w:lang w:eastAsia="ru-RU"/>
        </w:rPr>
        <w:t xml:space="preserve">%) </w:t>
      </w:r>
      <w:proofErr w:type="gramStart"/>
      <w:r w:rsidRPr="00EF3C69">
        <w:rPr>
          <w:rFonts w:eastAsia="Times New Roman"/>
          <w:lang w:eastAsia="ru-RU"/>
        </w:rPr>
        <w:t>положите</w:t>
      </w:r>
      <w:r>
        <w:rPr>
          <w:rFonts w:eastAsia="Times New Roman"/>
          <w:lang w:eastAsia="ru-RU"/>
        </w:rPr>
        <w:t>льных</w:t>
      </w:r>
      <w:proofErr w:type="gramEnd"/>
      <w:r w:rsidRPr="00EF3C69">
        <w:rPr>
          <w:rFonts w:eastAsia="Times New Roman"/>
          <w:lang w:eastAsia="ru-RU"/>
        </w:rPr>
        <w:t>;</w:t>
      </w:r>
    </w:p>
    <w:p w:rsidR="00C02F99" w:rsidRDefault="00C02F99" w:rsidP="00C02F99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  <w:r w:rsidRPr="00EF3C69">
        <w:rPr>
          <w:rFonts w:eastAsia="Times New Roman"/>
          <w:lang w:eastAsia="ru-RU"/>
        </w:rPr>
        <w:t xml:space="preserve">– </w:t>
      </w:r>
      <w:r>
        <w:rPr>
          <w:rFonts w:eastAsia="Times New Roman"/>
          <w:lang w:eastAsia="ru-RU"/>
        </w:rPr>
        <w:t>3</w:t>
      </w:r>
      <w:r w:rsidRPr="00EF3C6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заключения (50%) </w:t>
      </w:r>
      <w:proofErr w:type="gramStart"/>
      <w:r>
        <w:rPr>
          <w:rFonts w:eastAsia="Times New Roman"/>
          <w:lang w:eastAsia="ru-RU"/>
        </w:rPr>
        <w:t>отрицательных</w:t>
      </w:r>
      <w:proofErr w:type="gramEnd"/>
      <w:r w:rsidRPr="00EF3C69">
        <w:rPr>
          <w:rFonts w:eastAsia="Times New Roman"/>
          <w:lang w:eastAsia="ru-RU"/>
        </w:rPr>
        <w:t>.</w:t>
      </w:r>
    </w:p>
    <w:p w:rsidR="00EB104E" w:rsidRPr="00EF3C69" w:rsidRDefault="00EB104E" w:rsidP="00C02F99">
      <w:pPr>
        <w:shd w:val="clear" w:color="auto" w:fill="FFFFFF"/>
        <w:spacing w:line="312" w:lineRule="auto"/>
        <w:ind w:firstLine="709"/>
        <w:jc w:val="both"/>
        <w:rPr>
          <w:rFonts w:eastAsia="Times New Roman"/>
          <w:lang w:eastAsia="ru-RU"/>
        </w:rPr>
      </w:pPr>
    </w:p>
    <w:p w:rsidR="0090420F" w:rsidRDefault="0090420F" w:rsidP="00407E73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При проведении процедур ОРВ, экспертизы и ОФВ особое внимание уделялось публичному обсуждению проектов и действующих НПА с</w:t>
      </w:r>
      <w:r w:rsidR="00B06DB6" w:rsidRPr="00765F94">
        <w:rPr>
          <w:rFonts w:eastAsia="Times New Roman"/>
          <w:lang w:eastAsia="ru-RU"/>
        </w:rPr>
        <w:t> </w:t>
      </w:r>
      <w:r w:rsidRPr="00765F94">
        <w:rPr>
          <w:rFonts w:eastAsia="Times New Roman"/>
          <w:lang w:eastAsia="ru-RU"/>
        </w:rPr>
        <w:t xml:space="preserve">общественностью и представителями </w:t>
      </w:r>
      <w:proofErr w:type="gramStart"/>
      <w:r w:rsidRPr="00765F94">
        <w:rPr>
          <w:rFonts w:eastAsia="Times New Roman"/>
          <w:lang w:eastAsia="ru-RU"/>
        </w:rPr>
        <w:t>бизнес-сообществ</w:t>
      </w:r>
      <w:proofErr w:type="gramEnd"/>
      <w:r w:rsidRPr="00765F94">
        <w:rPr>
          <w:rFonts w:eastAsia="Times New Roman"/>
          <w:lang w:eastAsia="ru-RU"/>
        </w:rPr>
        <w:t xml:space="preserve">. </w:t>
      </w:r>
    </w:p>
    <w:p w:rsidR="0053564F" w:rsidRDefault="0090420F" w:rsidP="00407E73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Всего в публичных консультациях, проводимых в рамках ОРВ, экспертизы и ОФВ приняли</w:t>
      </w:r>
      <w:r w:rsidR="00366513" w:rsidRPr="00765F94">
        <w:rPr>
          <w:rFonts w:eastAsia="Times New Roman"/>
          <w:lang w:eastAsia="ru-RU"/>
        </w:rPr>
        <w:t xml:space="preserve"> </w:t>
      </w:r>
      <w:r w:rsidRPr="00765F94">
        <w:rPr>
          <w:rFonts w:eastAsia="Times New Roman"/>
          <w:lang w:eastAsia="ru-RU"/>
        </w:rPr>
        <w:t>участие</w:t>
      </w:r>
      <w:r w:rsidR="00EA56E4" w:rsidRPr="00765F94">
        <w:rPr>
          <w:rFonts w:eastAsia="Times New Roman"/>
          <w:lang w:eastAsia="ru-RU"/>
        </w:rPr>
        <w:t xml:space="preserve"> </w:t>
      </w:r>
      <w:r w:rsidR="00EB104E">
        <w:rPr>
          <w:rFonts w:eastAsia="Times New Roman"/>
          <w:lang w:eastAsia="ru-RU"/>
        </w:rPr>
        <w:t>165</w:t>
      </w:r>
      <w:r w:rsidR="00EA56E4" w:rsidRPr="00765F94">
        <w:rPr>
          <w:rFonts w:eastAsia="Times New Roman"/>
          <w:lang w:eastAsia="ru-RU"/>
        </w:rPr>
        <w:t xml:space="preserve"> организаций и индивидуальных предпринимателей, от которых поступило </w:t>
      </w:r>
      <w:r w:rsidR="00EB104E">
        <w:rPr>
          <w:rFonts w:eastAsia="Times New Roman"/>
          <w:lang w:eastAsia="ru-RU"/>
        </w:rPr>
        <w:t>112 замечаний</w:t>
      </w:r>
      <w:r w:rsidR="00366513" w:rsidRPr="00765F94">
        <w:rPr>
          <w:rFonts w:eastAsia="Times New Roman"/>
          <w:lang w:eastAsia="ru-RU"/>
        </w:rPr>
        <w:t xml:space="preserve"> </w:t>
      </w:r>
      <w:r w:rsidR="00EB104E">
        <w:rPr>
          <w:rFonts w:eastAsia="Times New Roman"/>
          <w:lang w:eastAsia="ru-RU"/>
        </w:rPr>
        <w:t>и предложений</w:t>
      </w:r>
      <w:r w:rsidR="00EA56E4" w:rsidRPr="00765F94">
        <w:rPr>
          <w:rFonts w:eastAsia="Times New Roman"/>
          <w:lang w:eastAsia="ru-RU"/>
        </w:rPr>
        <w:t xml:space="preserve">. </w:t>
      </w:r>
      <w:r w:rsidR="0053564F" w:rsidRPr="00765F94">
        <w:rPr>
          <w:rFonts w:eastAsia="Times New Roman"/>
          <w:lang w:eastAsia="ru-RU"/>
        </w:rPr>
        <w:t>При</w:t>
      </w:r>
      <w:r w:rsidR="00BD2E26">
        <w:t xml:space="preserve"> </w:t>
      </w:r>
      <w:r w:rsidR="0053564F" w:rsidRPr="00765F94">
        <w:rPr>
          <w:rFonts w:eastAsia="Times New Roman"/>
          <w:lang w:eastAsia="ru-RU"/>
        </w:rPr>
        <w:t xml:space="preserve">этом </w:t>
      </w:r>
      <w:r w:rsidR="00EB104E">
        <w:rPr>
          <w:rFonts w:eastAsia="Times New Roman"/>
          <w:lang w:eastAsia="ru-RU"/>
        </w:rPr>
        <w:t>28</w:t>
      </w:r>
      <w:r w:rsidR="00BA2128" w:rsidRPr="00765F94">
        <w:rPr>
          <w:rFonts w:eastAsia="Times New Roman"/>
          <w:lang w:eastAsia="ru-RU"/>
        </w:rPr>
        <w:t xml:space="preserve"> (</w:t>
      </w:r>
      <w:r w:rsidR="00407E73">
        <w:rPr>
          <w:rFonts w:eastAsia="Times New Roman"/>
          <w:lang w:eastAsia="ru-RU"/>
        </w:rPr>
        <w:t xml:space="preserve">или </w:t>
      </w:r>
      <w:r w:rsidR="00EB104E">
        <w:rPr>
          <w:rFonts w:eastAsia="Times New Roman"/>
          <w:lang w:eastAsia="ru-RU"/>
        </w:rPr>
        <w:t>25</w:t>
      </w:r>
      <w:r w:rsidR="00BA2128" w:rsidRPr="00765F94">
        <w:rPr>
          <w:rFonts w:eastAsia="Times New Roman"/>
          <w:lang w:eastAsia="ru-RU"/>
        </w:rPr>
        <w:t>%)</w:t>
      </w:r>
      <w:r w:rsidR="00407FEB">
        <w:rPr>
          <w:rFonts w:eastAsia="Times New Roman"/>
          <w:lang w:eastAsia="ru-RU"/>
        </w:rPr>
        <w:br/>
      </w:r>
      <w:r w:rsidR="0053564F" w:rsidRPr="00765F94">
        <w:rPr>
          <w:rFonts w:eastAsia="Times New Roman"/>
          <w:lang w:eastAsia="ru-RU"/>
        </w:rPr>
        <w:t>из поступивших</w:t>
      </w:r>
      <w:r w:rsidR="00366513" w:rsidRPr="00765F94">
        <w:rPr>
          <w:rFonts w:eastAsia="Times New Roman"/>
          <w:lang w:eastAsia="ru-RU"/>
        </w:rPr>
        <w:t xml:space="preserve"> </w:t>
      </w:r>
      <w:r w:rsidR="0053564F" w:rsidRPr="00765F94">
        <w:rPr>
          <w:rFonts w:eastAsia="Times New Roman"/>
          <w:lang w:eastAsia="ru-RU"/>
        </w:rPr>
        <w:t>замечаний и предложений были учтены</w:t>
      </w:r>
      <w:r w:rsidR="00EA56E4" w:rsidRPr="00765F94">
        <w:rPr>
          <w:rFonts w:eastAsia="Times New Roman"/>
          <w:lang w:eastAsia="ru-RU"/>
        </w:rPr>
        <w:t>.</w:t>
      </w:r>
      <w:r w:rsidR="0053564F" w:rsidRPr="00765F94">
        <w:rPr>
          <w:rFonts w:eastAsia="Times New Roman"/>
          <w:lang w:eastAsia="ru-RU"/>
        </w:rPr>
        <w:t xml:space="preserve"> </w:t>
      </w:r>
    </w:p>
    <w:p w:rsidR="00C02F99" w:rsidRPr="00765F94" w:rsidRDefault="00C02F99" w:rsidP="00407E73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</w:p>
    <w:p w:rsidR="0053564F" w:rsidRPr="00765F94" w:rsidRDefault="0053564F" w:rsidP="00407E73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Наибольший интерес у участников публичных консультаций вызвали:</w:t>
      </w:r>
    </w:p>
    <w:p w:rsidR="00EA56E4" w:rsidRPr="00765F94" w:rsidRDefault="00EA6837" w:rsidP="00407E73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765F94">
        <w:rPr>
          <w:rFonts w:eastAsia="Times New Roman"/>
          <w:color w:val="000000" w:themeColor="text1"/>
          <w:lang w:eastAsia="ru-RU"/>
        </w:rPr>
        <w:t xml:space="preserve">проект постановления Правительства автономного округа «О внесении изменений в приложение к постановлению Правительства Ханты-Мансийского автономного округа – Югры от 9 октября 2013 года № 409-п «О содействии занятости населения в Ханты-Мансийском автономном округе – Югре </w:t>
      </w:r>
      <w:r w:rsidR="00BD2E26">
        <w:rPr>
          <w:rFonts w:eastAsia="Times New Roman"/>
          <w:color w:val="000000" w:themeColor="text1"/>
          <w:lang w:eastAsia="ru-RU"/>
        </w:rPr>
        <w:br/>
      </w:r>
      <w:r w:rsidRPr="00765F94">
        <w:rPr>
          <w:rFonts w:eastAsia="Times New Roman"/>
          <w:color w:val="000000" w:themeColor="text1"/>
          <w:lang w:eastAsia="ru-RU"/>
        </w:rPr>
        <w:t>на 2018-2025 годы и период до 2030 года»</w:t>
      </w:r>
      <w:r w:rsidR="00407E73">
        <w:rPr>
          <w:rFonts w:eastAsia="Times New Roman"/>
          <w:color w:val="000000" w:themeColor="text1"/>
          <w:lang w:eastAsia="ru-RU"/>
        </w:rPr>
        <w:t xml:space="preserve"> (32 участника, 14 отзывов, </w:t>
      </w:r>
      <w:r w:rsidR="00BD2E26">
        <w:rPr>
          <w:rFonts w:eastAsia="Times New Roman"/>
          <w:color w:val="000000" w:themeColor="text1"/>
          <w:lang w:eastAsia="ru-RU"/>
        </w:rPr>
        <w:br/>
      </w:r>
      <w:r w:rsidR="00EB104E">
        <w:rPr>
          <w:rFonts w:eastAsia="Times New Roman"/>
          <w:color w:val="000000" w:themeColor="text1"/>
          <w:lang w:eastAsia="ru-RU"/>
        </w:rPr>
        <w:t>1 из которых учтен при доработке проекта</w:t>
      </w:r>
      <w:r w:rsidR="00407E73">
        <w:rPr>
          <w:rFonts w:eastAsia="Times New Roman"/>
          <w:color w:val="000000" w:themeColor="text1"/>
          <w:lang w:eastAsia="ru-RU"/>
        </w:rPr>
        <w:t>)</w:t>
      </w:r>
      <w:r w:rsidRPr="00765F94">
        <w:rPr>
          <w:rFonts w:eastAsia="Times New Roman"/>
          <w:lang w:eastAsia="ru-RU"/>
        </w:rPr>
        <w:t>;</w:t>
      </w:r>
      <w:proofErr w:type="gramEnd"/>
    </w:p>
    <w:p w:rsidR="00EA6837" w:rsidRPr="00765F94" w:rsidRDefault="00EA6837" w:rsidP="00407E73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проект закона автономного округа «Об установлении ограничений использования и продажи электронных систем доставки никотина на территории Ханты-Мансийского автономного округа – Югры и о внесении изменений в</w:t>
      </w:r>
      <w:r w:rsidR="0050654E" w:rsidRPr="00765F94">
        <w:rPr>
          <w:rFonts w:eastAsia="Times New Roman"/>
          <w:lang w:eastAsia="ru-RU"/>
        </w:rPr>
        <w:t xml:space="preserve"> </w:t>
      </w:r>
      <w:r w:rsidRPr="00765F94">
        <w:rPr>
          <w:rFonts w:eastAsia="Times New Roman"/>
          <w:lang w:eastAsia="ru-RU"/>
        </w:rPr>
        <w:t>Закон Ханты-Мансийског</w:t>
      </w:r>
      <w:r w:rsidR="00BD2E26">
        <w:rPr>
          <w:rFonts w:eastAsia="Times New Roman"/>
          <w:lang w:eastAsia="ru-RU"/>
        </w:rPr>
        <w:t xml:space="preserve">о автономного округа – Югры «Об </w:t>
      </w:r>
      <w:r w:rsidRPr="00765F94">
        <w:rPr>
          <w:rFonts w:eastAsia="Times New Roman"/>
          <w:lang w:eastAsia="ru-RU"/>
        </w:rPr>
        <w:t>административных правонарушениях»</w:t>
      </w:r>
      <w:r w:rsidR="00407E73">
        <w:rPr>
          <w:rFonts w:eastAsia="Times New Roman"/>
          <w:lang w:eastAsia="ru-RU"/>
        </w:rPr>
        <w:t xml:space="preserve"> </w:t>
      </w:r>
      <w:r w:rsidR="00407E73">
        <w:rPr>
          <w:rFonts w:eastAsia="Times New Roman"/>
          <w:color w:val="000000" w:themeColor="text1"/>
          <w:lang w:eastAsia="ru-RU"/>
        </w:rPr>
        <w:t>(9 участников, 32 отзыва, 3 из которых были учтены)</w:t>
      </w:r>
      <w:r w:rsidRPr="00765F94">
        <w:rPr>
          <w:rFonts w:eastAsia="Times New Roman"/>
          <w:lang w:eastAsia="ru-RU"/>
        </w:rPr>
        <w:t>;</w:t>
      </w:r>
    </w:p>
    <w:p w:rsidR="00EA6837" w:rsidRPr="00765F94" w:rsidRDefault="00EA6837" w:rsidP="00407E73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 xml:space="preserve">постановление Правительства автономного округа от 12 апреля 2010 года № 102-п «О регулировании отношений при предоставлении и пользовании участками недр местного значения на территории Ханты-Мансийского </w:t>
      </w:r>
      <w:r w:rsidRPr="00765F94">
        <w:rPr>
          <w:rFonts w:eastAsia="Times New Roman"/>
          <w:lang w:eastAsia="ru-RU"/>
        </w:rPr>
        <w:lastRenderedPageBreak/>
        <w:t>автономного округа – Югры»</w:t>
      </w:r>
      <w:r w:rsidR="00407E73">
        <w:rPr>
          <w:rFonts w:eastAsia="Times New Roman"/>
          <w:lang w:eastAsia="ru-RU"/>
        </w:rPr>
        <w:t xml:space="preserve"> </w:t>
      </w:r>
      <w:r w:rsidR="00407E73">
        <w:rPr>
          <w:rFonts w:eastAsia="Times New Roman"/>
          <w:color w:val="000000" w:themeColor="text1"/>
          <w:lang w:eastAsia="ru-RU"/>
        </w:rPr>
        <w:t>(4 участника, 12 отзывов, 3 из которых были учтены)</w:t>
      </w:r>
      <w:r w:rsidRPr="00765F94">
        <w:rPr>
          <w:rFonts w:eastAsia="Times New Roman"/>
          <w:lang w:eastAsia="ru-RU"/>
        </w:rPr>
        <w:t>;</w:t>
      </w:r>
    </w:p>
    <w:p w:rsidR="00EA6837" w:rsidRPr="00765F94" w:rsidRDefault="00EA6837" w:rsidP="00407E73">
      <w:pPr>
        <w:shd w:val="clear" w:color="auto" w:fill="FFFFFF"/>
        <w:spacing w:line="312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постановление Правительства автономного округа от 18 декабря 2015 года № 476-п «О внесении изменений в постановление Правительства Ханты-Мансийского автономного округа – Югры от 21 сентября 2005 года № 171-п «О</w:t>
      </w:r>
      <w:r w:rsidR="0050654E" w:rsidRPr="00765F94">
        <w:rPr>
          <w:rFonts w:eastAsia="Times New Roman"/>
          <w:lang w:eastAsia="ru-RU"/>
        </w:rPr>
        <w:t> </w:t>
      </w:r>
      <w:r w:rsidRPr="00765F94">
        <w:rPr>
          <w:rFonts w:eastAsia="Times New Roman"/>
          <w:lang w:eastAsia="ru-RU"/>
        </w:rPr>
        <w:t>Порядке представления налогоплательщиками-организациями информации для анализа эффективности действия льгот по налогам»</w:t>
      </w:r>
      <w:r w:rsidR="00407E73">
        <w:rPr>
          <w:rFonts w:eastAsia="Times New Roman"/>
          <w:lang w:eastAsia="ru-RU"/>
        </w:rPr>
        <w:t xml:space="preserve"> </w:t>
      </w:r>
      <w:r w:rsidR="00407E73">
        <w:rPr>
          <w:rFonts w:eastAsia="Times New Roman"/>
          <w:color w:val="000000" w:themeColor="text1"/>
          <w:lang w:eastAsia="ru-RU"/>
        </w:rPr>
        <w:t>(5 участни</w:t>
      </w:r>
      <w:r w:rsidR="00EB104E">
        <w:rPr>
          <w:rFonts w:eastAsia="Times New Roman"/>
          <w:color w:val="000000" w:themeColor="text1"/>
          <w:lang w:eastAsia="ru-RU"/>
        </w:rPr>
        <w:t xml:space="preserve">ков, 4 отзыва, 1 из которых </w:t>
      </w:r>
      <w:proofErr w:type="gramStart"/>
      <w:r w:rsidR="00EB104E">
        <w:rPr>
          <w:rFonts w:eastAsia="Times New Roman"/>
          <w:color w:val="000000" w:themeColor="text1"/>
          <w:lang w:eastAsia="ru-RU"/>
        </w:rPr>
        <w:t>учтен</w:t>
      </w:r>
      <w:proofErr w:type="gramEnd"/>
      <w:r w:rsidR="00407E73">
        <w:rPr>
          <w:rFonts w:eastAsia="Times New Roman"/>
          <w:color w:val="000000" w:themeColor="text1"/>
          <w:lang w:eastAsia="ru-RU"/>
        </w:rPr>
        <w:t>)</w:t>
      </w:r>
      <w:r w:rsidRPr="00765F94">
        <w:rPr>
          <w:rFonts w:eastAsia="Times New Roman"/>
          <w:lang w:eastAsia="ru-RU"/>
        </w:rPr>
        <w:t>.</w:t>
      </w:r>
    </w:p>
    <w:sectPr w:rsidR="00EA6837" w:rsidRPr="00765F94" w:rsidSect="005A1795">
      <w:headerReference w:type="default" r:id="rId13"/>
      <w:pgSz w:w="11907" w:h="16840" w:code="9"/>
      <w:pgMar w:top="1134" w:right="992" w:bottom="851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9F" w:rsidRDefault="005A079F" w:rsidP="0053590B">
      <w:r>
        <w:separator/>
      </w:r>
    </w:p>
  </w:endnote>
  <w:endnote w:type="continuationSeparator" w:id="0">
    <w:p w:rsidR="005A079F" w:rsidRDefault="005A079F" w:rsidP="0053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9F" w:rsidRDefault="005A079F" w:rsidP="0053590B">
      <w:r>
        <w:separator/>
      </w:r>
    </w:p>
  </w:footnote>
  <w:footnote w:type="continuationSeparator" w:id="0">
    <w:p w:rsidR="005A079F" w:rsidRDefault="005A079F" w:rsidP="00535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898706"/>
      <w:docPartObj>
        <w:docPartGallery w:val="Page Numbers (Top of Page)"/>
        <w:docPartUnique/>
      </w:docPartObj>
    </w:sdtPr>
    <w:sdtEndPr/>
    <w:sdtContent>
      <w:p w:rsidR="006154BB" w:rsidRDefault="006154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189">
          <w:rPr>
            <w:noProof/>
          </w:rPr>
          <w:t>8</w:t>
        </w:r>
        <w:r>
          <w:fldChar w:fldCharType="end"/>
        </w:r>
      </w:p>
    </w:sdtContent>
  </w:sdt>
  <w:p w:rsidR="006154BB" w:rsidRDefault="006154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1D88"/>
    <w:multiLevelType w:val="hybridMultilevel"/>
    <w:tmpl w:val="F78C3886"/>
    <w:lvl w:ilvl="0" w:tplc="9A8C75B4">
      <w:start w:val="1"/>
      <w:numFmt w:val="upperRoman"/>
      <w:lvlText w:val="%1."/>
      <w:lvlJc w:val="left"/>
      <w:pPr>
        <w:ind w:left="97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1">
    <w:nsid w:val="29E90390"/>
    <w:multiLevelType w:val="hybridMultilevel"/>
    <w:tmpl w:val="F78C3886"/>
    <w:lvl w:ilvl="0" w:tplc="9A8C75B4">
      <w:start w:val="1"/>
      <w:numFmt w:val="upperRoman"/>
      <w:lvlText w:val="%1."/>
      <w:lvlJc w:val="left"/>
      <w:pPr>
        <w:ind w:left="97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2">
    <w:nsid w:val="43846DE6"/>
    <w:multiLevelType w:val="hybridMultilevel"/>
    <w:tmpl w:val="19762EB6"/>
    <w:lvl w:ilvl="0" w:tplc="7BA285B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7D41CB"/>
    <w:multiLevelType w:val="hybridMultilevel"/>
    <w:tmpl w:val="81DEA03A"/>
    <w:lvl w:ilvl="0" w:tplc="E48A0B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B74ABC"/>
    <w:multiLevelType w:val="hybridMultilevel"/>
    <w:tmpl w:val="40BE37F2"/>
    <w:lvl w:ilvl="0" w:tplc="B126A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9115AE"/>
    <w:multiLevelType w:val="hybridMultilevel"/>
    <w:tmpl w:val="9A541942"/>
    <w:lvl w:ilvl="0" w:tplc="B7667B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CB"/>
    <w:rsid w:val="0001763F"/>
    <w:rsid w:val="000377B9"/>
    <w:rsid w:val="00041898"/>
    <w:rsid w:val="00062DB4"/>
    <w:rsid w:val="00063A5D"/>
    <w:rsid w:val="00073EC7"/>
    <w:rsid w:val="00077BFA"/>
    <w:rsid w:val="00081ABF"/>
    <w:rsid w:val="000C2340"/>
    <w:rsid w:val="000C3226"/>
    <w:rsid w:val="000D0BA7"/>
    <w:rsid w:val="001015EC"/>
    <w:rsid w:val="0010328D"/>
    <w:rsid w:val="00104839"/>
    <w:rsid w:val="00112AF9"/>
    <w:rsid w:val="00116D01"/>
    <w:rsid w:val="00126B7D"/>
    <w:rsid w:val="00130E2A"/>
    <w:rsid w:val="001537E7"/>
    <w:rsid w:val="00154F0C"/>
    <w:rsid w:val="00183204"/>
    <w:rsid w:val="00184CF8"/>
    <w:rsid w:val="001E0A0C"/>
    <w:rsid w:val="001E452B"/>
    <w:rsid w:val="001F6DFD"/>
    <w:rsid w:val="00205E25"/>
    <w:rsid w:val="00217334"/>
    <w:rsid w:val="00223931"/>
    <w:rsid w:val="00234B36"/>
    <w:rsid w:val="00236151"/>
    <w:rsid w:val="00241861"/>
    <w:rsid w:val="00263FCD"/>
    <w:rsid w:val="00266AF0"/>
    <w:rsid w:val="00267717"/>
    <w:rsid w:val="00291C77"/>
    <w:rsid w:val="002B4415"/>
    <w:rsid w:val="002C0E9A"/>
    <w:rsid w:val="002D1F9E"/>
    <w:rsid w:val="002E36C7"/>
    <w:rsid w:val="002E6978"/>
    <w:rsid w:val="002F2138"/>
    <w:rsid w:val="002F7713"/>
    <w:rsid w:val="003073DC"/>
    <w:rsid w:val="003167A3"/>
    <w:rsid w:val="00322A14"/>
    <w:rsid w:val="0032489F"/>
    <w:rsid w:val="003435A8"/>
    <w:rsid w:val="003511D6"/>
    <w:rsid w:val="00366513"/>
    <w:rsid w:val="00373A9F"/>
    <w:rsid w:val="003817E1"/>
    <w:rsid w:val="00391A1B"/>
    <w:rsid w:val="003938BC"/>
    <w:rsid w:val="003A67A3"/>
    <w:rsid w:val="003B698D"/>
    <w:rsid w:val="003C1BCB"/>
    <w:rsid w:val="003D18B6"/>
    <w:rsid w:val="003E62ED"/>
    <w:rsid w:val="00402FDF"/>
    <w:rsid w:val="00406BBF"/>
    <w:rsid w:val="00407E73"/>
    <w:rsid w:val="00407FEB"/>
    <w:rsid w:val="00413AF0"/>
    <w:rsid w:val="00415B6C"/>
    <w:rsid w:val="00427EBA"/>
    <w:rsid w:val="004363F0"/>
    <w:rsid w:val="00445ACC"/>
    <w:rsid w:val="00475878"/>
    <w:rsid w:val="00495412"/>
    <w:rsid w:val="00495DC9"/>
    <w:rsid w:val="00497A7F"/>
    <w:rsid w:val="004A2517"/>
    <w:rsid w:val="004A3040"/>
    <w:rsid w:val="004A461D"/>
    <w:rsid w:val="004E3DAB"/>
    <w:rsid w:val="0050654E"/>
    <w:rsid w:val="005128B4"/>
    <w:rsid w:val="00516F14"/>
    <w:rsid w:val="0051720C"/>
    <w:rsid w:val="0053525F"/>
    <w:rsid w:val="0053564F"/>
    <w:rsid w:val="0053590B"/>
    <w:rsid w:val="0054378C"/>
    <w:rsid w:val="00544C89"/>
    <w:rsid w:val="00545A4E"/>
    <w:rsid w:val="00560214"/>
    <w:rsid w:val="0056206D"/>
    <w:rsid w:val="00585226"/>
    <w:rsid w:val="005A079F"/>
    <w:rsid w:val="005A1795"/>
    <w:rsid w:val="005A5D68"/>
    <w:rsid w:val="005B0EC8"/>
    <w:rsid w:val="005C1CCC"/>
    <w:rsid w:val="005E12BE"/>
    <w:rsid w:val="005E3FE3"/>
    <w:rsid w:val="005F70CE"/>
    <w:rsid w:val="00602C9A"/>
    <w:rsid w:val="0061507E"/>
    <w:rsid w:val="006154BB"/>
    <w:rsid w:val="00621A9C"/>
    <w:rsid w:val="0063093D"/>
    <w:rsid w:val="00634832"/>
    <w:rsid w:val="00641421"/>
    <w:rsid w:val="006545E1"/>
    <w:rsid w:val="00655B30"/>
    <w:rsid w:val="00697FB2"/>
    <w:rsid w:val="006A4408"/>
    <w:rsid w:val="006B46D1"/>
    <w:rsid w:val="006B4E3C"/>
    <w:rsid w:val="006C0390"/>
    <w:rsid w:val="006C1027"/>
    <w:rsid w:val="006D4743"/>
    <w:rsid w:val="006D4C21"/>
    <w:rsid w:val="006F15AB"/>
    <w:rsid w:val="00703425"/>
    <w:rsid w:val="00706087"/>
    <w:rsid w:val="00707AF5"/>
    <w:rsid w:val="00720D92"/>
    <w:rsid w:val="007245DC"/>
    <w:rsid w:val="00725B42"/>
    <w:rsid w:val="00734146"/>
    <w:rsid w:val="00735D7F"/>
    <w:rsid w:val="00741413"/>
    <w:rsid w:val="007551BF"/>
    <w:rsid w:val="007643E7"/>
    <w:rsid w:val="00765F94"/>
    <w:rsid w:val="00791F73"/>
    <w:rsid w:val="007B4D5C"/>
    <w:rsid w:val="007B62E1"/>
    <w:rsid w:val="007C1FF9"/>
    <w:rsid w:val="007C6181"/>
    <w:rsid w:val="007C6A42"/>
    <w:rsid w:val="007D2F61"/>
    <w:rsid w:val="00802960"/>
    <w:rsid w:val="00803DA7"/>
    <w:rsid w:val="00823AEE"/>
    <w:rsid w:val="00825263"/>
    <w:rsid w:val="008315E0"/>
    <w:rsid w:val="00831A5C"/>
    <w:rsid w:val="008355CC"/>
    <w:rsid w:val="00835EF1"/>
    <w:rsid w:val="008742B4"/>
    <w:rsid w:val="00876F9B"/>
    <w:rsid w:val="0089554B"/>
    <w:rsid w:val="008A1ECA"/>
    <w:rsid w:val="008B3ED9"/>
    <w:rsid w:val="008B448B"/>
    <w:rsid w:val="008C1C2C"/>
    <w:rsid w:val="008C5695"/>
    <w:rsid w:val="008F5991"/>
    <w:rsid w:val="008F63B2"/>
    <w:rsid w:val="00903064"/>
    <w:rsid w:val="0090420F"/>
    <w:rsid w:val="009175CC"/>
    <w:rsid w:val="0092526F"/>
    <w:rsid w:val="009358DD"/>
    <w:rsid w:val="00936147"/>
    <w:rsid w:val="00940D17"/>
    <w:rsid w:val="00955BD9"/>
    <w:rsid w:val="00964209"/>
    <w:rsid w:val="009762D6"/>
    <w:rsid w:val="00983890"/>
    <w:rsid w:val="00992E88"/>
    <w:rsid w:val="009D41FC"/>
    <w:rsid w:val="009F1C83"/>
    <w:rsid w:val="00A01181"/>
    <w:rsid w:val="00A44C9A"/>
    <w:rsid w:val="00A66689"/>
    <w:rsid w:val="00A71A5F"/>
    <w:rsid w:val="00A733D2"/>
    <w:rsid w:val="00A83995"/>
    <w:rsid w:val="00A867AE"/>
    <w:rsid w:val="00A91795"/>
    <w:rsid w:val="00AB3BD8"/>
    <w:rsid w:val="00B0134B"/>
    <w:rsid w:val="00B06DB6"/>
    <w:rsid w:val="00B45754"/>
    <w:rsid w:val="00B56E1C"/>
    <w:rsid w:val="00B67746"/>
    <w:rsid w:val="00B75077"/>
    <w:rsid w:val="00B86987"/>
    <w:rsid w:val="00B86C4D"/>
    <w:rsid w:val="00B974C5"/>
    <w:rsid w:val="00BA2128"/>
    <w:rsid w:val="00BA4B88"/>
    <w:rsid w:val="00BA693E"/>
    <w:rsid w:val="00BA6BE3"/>
    <w:rsid w:val="00BC71A9"/>
    <w:rsid w:val="00BD2E26"/>
    <w:rsid w:val="00BD70E0"/>
    <w:rsid w:val="00BE459C"/>
    <w:rsid w:val="00BE6805"/>
    <w:rsid w:val="00BF019B"/>
    <w:rsid w:val="00BF3C17"/>
    <w:rsid w:val="00C02406"/>
    <w:rsid w:val="00C02F99"/>
    <w:rsid w:val="00C127B3"/>
    <w:rsid w:val="00C1619B"/>
    <w:rsid w:val="00C277E9"/>
    <w:rsid w:val="00C54612"/>
    <w:rsid w:val="00C561A5"/>
    <w:rsid w:val="00C618E5"/>
    <w:rsid w:val="00C7000A"/>
    <w:rsid w:val="00C94B8B"/>
    <w:rsid w:val="00CB3AF2"/>
    <w:rsid w:val="00CD2715"/>
    <w:rsid w:val="00CD59E1"/>
    <w:rsid w:val="00CE30ED"/>
    <w:rsid w:val="00CE5934"/>
    <w:rsid w:val="00D01D49"/>
    <w:rsid w:val="00D16869"/>
    <w:rsid w:val="00D26095"/>
    <w:rsid w:val="00D62D26"/>
    <w:rsid w:val="00D7057C"/>
    <w:rsid w:val="00D85B04"/>
    <w:rsid w:val="00D873C1"/>
    <w:rsid w:val="00D905D8"/>
    <w:rsid w:val="00DB6A91"/>
    <w:rsid w:val="00DC6ADC"/>
    <w:rsid w:val="00DD0A61"/>
    <w:rsid w:val="00DD45F3"/>
    <w:rsid w:val="00DD4802"/>
    <w:rsid w:val="00DE2530"/>
    <w:rsid w:val="00DE417E"/>
    <w:rsid w:val="00DF12A3"/>
    <w:rsid w:val="00E22A76"/>
    <w:rsid w:val="00E2381B"/>
    <w:rsid w:val="00E2768A"/>
    <w:rsid w:val="00E435A3"/>
    <w:rsid w:val="00E4530F"/>
    <w:rsid w:val="00E62B41"/>
    <w:rsid w:val="00E62C0F"/>
    <w:rsid w:val="00E71783"/>
    <w:rsid w:val="00E82FE5"/>
    <w:rsid w:val="00E86805"/>
    <w:rsid w:val="00E92189"/>
    <w:rsid w:val="00E942CB"/>
    <w:rsid w:val="00E97125"/>
    <w:rsid w:val="00EA4F00"/>
    <w:rsid w:val="00EA56E4"/>
    <w:rsid w:val="00EA6837"/>
    <w:rsid w:val="00EB0C5B"/>
    <w:rsid w:val="00EB104E"/>
    <w:rsid w:val="00EB70A8"/>
    <w:rsid w:val="00EC23DD"/>
    <w:rsid w:val="00EC451E"/>
    <w:rsid w:val="00ED39ED"/>
    <w:rsid w:val="00EF2855"/>
    <w:rsid w:val="00EF3C69"/>
    <w:rsid w:val="00F07365"/>
    <w:rsid w:val="00F170C4"/>
    <w:rsid w:val="00F26FF5"/>
    <w:rsid w:val="00F30929"/>
    <w:rsid w:val="00F365A0"/>
    <w:rsid w:val="00F40DB3"/>
    <w:rsid w:val="00F450C8"/>
    <w:rsid w:val="00F52DBD"/>
    <w:rsid w:val="00F568E4"/>
    <w:rsid w:val="00F575D4"/>
    <w:rsid w:val="00F60B68"/>
    <w:rsid w:val="00F664B0"/>
    <w:rsid w:val="00F73253"/>
    <w:rsid w:val="00FD2773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A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590B"/>
  </w:style>
  <w:style w:type="paragraph" w:styleId="a7">
    <w:name w:val="footer"/>
    <w:basedOn w:val="a"/>
    <w:link w:val="a8"/>
    <w:uiPriority w:val="99"/>
    <w:unhideWhenUsed/>
    <w:rsid w:val="00535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590B"/>
  </w:style>
  <w:style w:type="paragraph" w:styleId="a9">
    <w:name w:val="List Paragraph"/>
    <w:basedOn w:val="a"/>
    <w:uiPriority w:val="34"/>
    <w:qFormat/>
    <w:rsid w:val="00823AE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B4D5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C1C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5BD9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b/>
      <w:bCs/>
    </w:rPr>
  </w:style>
  <w:style w:type="paragraph" w:customStyle="1" w:styleId="ConsPlusNormal">
    <w:name w:val="ConsPlusNormal"/>
    <w:link w:val="ConsPlusNormal0"/>
    <w:rsid w:val="00955BD9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55BD9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A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590B"/>
  </w:style>
  <w:style w:type="paragraph" w:styleId="a7">
    <w:name w:val="footer"/>
    <w:basedOn w:val="a"/>
    <w:link w:val="a8"/>
    <w:uiPriority w:val="99"/>
    <w:unhideWhenUsed/>
    <w:rsid w:val="00535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590B"/>
  </w:style>
  <w:style w:type="paragraph" w:styleId="a9">
    <w:name w:val="List Paragraph"/>
    <w:basedOn w:val="a"/>
    <w:uiPriority w:val="34"/>
    <w:qFormat/>
    <w:rsid w:val="00823AE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B4D5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C1C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5BD9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b/>
      <w:bCs/>
    </w:rPr>
  </w:style>
  <w:style w:type="paragraph" w:customStyle="1" w:styleId="ConsPlusNormal">
    <w:name w:val="ConsPlusNormal"/>
    <w:link w:val="ConsPlusNormal0"/>
    <w:rsid w:val="00955BD9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55BD9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092592592592591E-2"/>
          <c:y val="4.3650793650793648E-2"/>
          <c:w val="0.54928790977333108"/>
          <c:h val="0.841269841269841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"/>
          <c:dLbls>
            <c:dLbl>
              <c:idx val="0"/>
              <c:layout>
                <c:manualLayout>
                  <c:x val="-1.2455558140768951E-2"/>
                  <c:y val="-2.2341582302212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4658486507227029E-3"/>
                  <c:y val="-1.9860329958755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777976431017662E-2"/>
                  <c:y val="7.91744781902262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4684365853957217E-3"/>
                  <c:y val="-9.5455880514935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967638570839611E-2"/>
                  <c:y val="-1.5386514185726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944134899156268E-2"/>
                  <c:y val="-8.15085614298210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4532477763763199E-2"/>
                  <c:y val="1.1167041619797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6418118808243839E-2"/>
                  <c:y val="-7.25409323834520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Депдорхоз и транспорта Югры</c:v>
                </c:pt>
                <c:pt idx="1">
                  <c:v>Депнедра и природных ресурсов Югры </c:v>
                </c:pt>
                <c:pt idx="2">
                  <c:v>Депстрой Югры</c:v>
                </c:pt>
                <c:pt idx="3">
                  <c:v>Депсоцразвития Югры</c:v>
                </c:pt>
                <c:pt idx="4">
                  <c:v>Дептруда и занятости населения Югры</c:v>
                </c:pt>
                <c:pt idx="5">
                  <c:v>Депполитики Югры</c:v>
                </c:pt>
                <c:pt idx="6">
                  <c:v>Депимущества Югры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6965895592755422"/>
          <c:y val="4.5889576302962129E-2"/>
          <c:w val="0.41789936444569625"/>
          <c:h val="0.90822084739407571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723991507430998E-2"/>
          <c:y val="4.3650793650793648E-2"/>
          <c:w val="0.68989484594680439"/>
          <c:h val="0.730158730158730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1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4.9582894494876038E-2"/>
                  <c:y val="-1.43147731533558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 (27,8%)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017135596903891E-2"/>
                  <c:y val="0.111197037870266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</a:t>
                    </a:r>
                    <a:r>
                      <a:rPr lang="ru-RU" baseline="0"/>
                      <a:t> (72,2%)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Положительные заключения</c:v>
                </c:pt>
                <c:pt idx="1">
                  <c:v>Отрицательные заключения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25252754233746261"/>
          <c:y val="0.75727846519185105"/>
          <c:w val="0.71774846615510646"/>
          <c:h val="0.23941132358455194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598870056497175E-2"/>
          <c:y val="4.3650793650793648E-2"/>
          <c:w val="0.51174728736719932"/>
          <c:h val="0.73412698412698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1"/>
          </c:dPt>
          <c:dPt>
            <c:idx val="1"/>
            <c:bubble3D val="0"/>
            <c:explosion val="6"/>
          </c:dPt>
          <c:dPt>
            <c:idx val="2"/>
            <c:bubble3D val="0"/>
            <c:explosion val="5"/>
          </c:dPt>
          <c:dPt>
            <c:idx val="3"/>
            <c:bubble3D val="0"/>
            <c:explosion val="5"/>
          </c:dPt>
          <c:dPt>
            <c:idx val="4"/>
            <c:bubble3D val="0"/>
            <c:explosion val="8"/>
          </c:dPt>
          <c:dPt>
            <c:idx val="5"/>
            <c:bubble3D val="0"/>
            <c:explosion val="7"/>
          </c:dPt>
          <c:dLbls>
            <c:dLbl>
              <c:idx val="0"/>
              <c:layout>
                <c:manualLayout>
                  <c:x val="2.6128629144777549E-3"/>
                  <c:y val="-2.29885057471264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947021260246937E-2"/>
                  <c:y val="1.84229844832614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3475081793512335E-3"/>
                  <c:y val="-3.9520921953721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6013410496261158E-3"/>
                  <c:y val="2.0658279783992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537451115990144E-4"/>
                  <c:y val="5.8972053780633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13299685767322E-2"/>
                  <c:y val="-5.60654056174012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Депжкк и энергетики Югры</c:v>
                </c:pt>
                <c:pt idx="1">
                  <c:v>Жилстройнадзор Югры</c:v>
                </c:pt>
                <c:pt idx="2">
                  <c:v>РСТ Югры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6721724114223782"/>
          <c:y val="4.6235470566179215E-2"/>
          <c:w val="0.43072831612535334"/>
          <c:h val="0.7170528683914511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11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9.3021249056196749E-3"/>
                  <c:y val="-0.12519744465904026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4</a:t>
                    </a:r>
                    <a:r>
                      <a:rPr lang="ru-RU" b="1" baseline="0"/>
                      <a:t> </a:t>
                    </a:r>
                    <a:r>
                      <a:rPr lang="ru-RU" b="1"/>
                      <a:t>(57,1%)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218614796438118E-3"/>
                  <c:y val="-1.6382706878621305E-2"/>
                </c:manualLayout>
              </c:layout>
              <c:tx>
                <c:rich>
                  <a:bodyPr/>
                  <a:lstStyle/>
                  <a:p>
                    <a:r>
                      <a:rPr lang="ru-RU" b="1" baseline="0"/>
                      <a:t>3 (42,9%)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Отрицательные заключения</c:v>
                </c:pt>
                <c:pt idx="1">
                  <c:v>Положительные заключения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9251264522167287"/>
          <c:y val="0.77754718160229974"/>
          <c:w val="0.43720311705222892"/>
          <c:h val="0.17109611298587676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1235-B57B-4085-925E-BAEC5420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Коломоец Евгений Витальевич</cp:lastModifiedBy>
  <cp:revision>23</cp:revision>
  <cp:lastPrinted>2018-07-24T04:49:00Z</cp:lastPrinted>
  <dcterms:created xsi:type="dcterms:W3CDTF">2018-07-23T04:47:00Z</dcterms:created>
  <dcterms:modified xsi:type="dcterms:W3CDTF">2018-07-24T10:11:00Z</dcterms:modified>
</cp:coreProperties>
</file>