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6"/>
          <w:szCs w:val="26"/>
        </w:rPr>
      </w:pPr>
      <w:r>
        <w:rPr>
          <w:sz w:val="26"/>
          <w:szCs w:val="26"/>
        </w:rPr>
      </w:r>
      <w:r>
        <mc:AlternateContent>
          <mc:Choice Requires="wps">
            <w:drawing>
              <wp:anchor behindDoc="0" distT="0" distB="0" distL="114300" distR="114300" simplePos="0" locked="0" layoutInCell="1" allowOverlap="1" relativeHeight="7">
                <wp:simplePos x="0" y="0"/>
                <wp:positionH relativeFrom="margin">
                  <wp:align>right</wp:align>
                </wp:positionH>
                <wp:positionV relativeFrom="paragraph">
                  <wp:posOffset>1270</wp:posOffset>
                </wp:positionV>
                <wp:extent cx="2817495" cy="1012190"/>
                <wp:effectExtent l="0" t="0" r="0" b="0"/>
                <wp:wrapSquare wrapText="bothSides"/>
                <wp:docPr id="1" name="Врезка2"/>
                <a:graphic xmlns:a="http://schemas.openxmlformats.org/drawingml/2006/main">
                  <a:graphicData uri="http://schemas.microsoft.com/office/word/2010/wordprocessingShape">
                    <wps:wsp>
                      <wps:cNvSpPr txBox="1"/>
                      <wps:spPr>
                        <a:xfrm>
                          <a:off x="0" y="0"/>
                          <a:ext cx="2817495" cy="1012190"/>
                        </a:xfrm>
                        <a:prstGeom prst="rect"/>
                      </wps:spPr>
                      <wps:txbx>
                        <w:txbxContent>
                          <w:tbl>
                            <w:tblPr>
                              <w:tblpPr w:bottomFromText="0" w:horzAnchor="margin" w:leftFromText="180" w:rightFromText="180" w:tblpX="0" w:tblpXSpec="right" w:tblpY="2" w:topFromText="0" w:vertAnchor="text"/>
                              <w:tblW w:w="4437" w:type="dxa"/>
                              <w:jc w:val="right"/>
                              <w:tblInd w:w="0" w:type="dxa"/>
                              <w:tblBorders/>
                              <w:tblCellMar>
                                <w:top w:w="0" w:type="dxa"/>
                                <w:left w:w="108" w:type="dxa"/>
                                <w:bottom w:w="0" w:type="dxa"/>
                                <w:right w:w="108" w:type="dxa"/>
                              </w:tblCellMar>
                              <w:tblLook w:val="01e0" w:noVBand="0" w:noHBand="0" w:lastColumn="1" w:firstColumn="1" w:lastRow="1" w:firstRow="1"/>
                            </w:tblPr>
                            <w:tblGrid>
                              <w:gridCol w:w="4437"/>
                            </w:tblGrid>
                            <w:tr>
                              <w:trPr>
                                <w:trHeight w:val="1295" w:hRule="atLeast"/>
                              </w:trPr>
                              <w:tc>
                                <w:tcPr>
                                  <w:tcW w:w="4437" w:type="dxa"/>
                                  <w:tcBorders/>
                                  <w:shd w:fill="auto" w:val="clear"/>
                                </w:tcPr>
                                <w:p>
                                  <w:pPr>
                                    <w:pStyle w:val="Normal"/>
                                    <w:jc w:val="center"/>
                                    <w:rPr/>
                                  </w:pPr>
                                  <w:r>
                                    <w:rPr>
                                      <w:sz w:val="26"/>
                                      <w:szCs w:val="26"/>
                                    </w:rPr>
                                    <w:t>36238-СШ/Д26и от 25.10.2019</w:t>
                                  </w:r>
                                </w:p>
                                <w:p>
                                  <w:pPr>
                                    <w:pStyle w:val="Normal"/>
                                    <w:jc w:val="center"/>
                                    <w:rPr>
                                      <w:sz w:val="26"/>
                                      <w:szCs w:val="26"/>
                                    </w:rPr>
                                  </w:pPr>
                                  <w:r>
                                    <w:rPr>
                                      <w:sz w:val="26"/>
                                      <w:szCs w:val="26"/>
                                    </w:rPr>
                                  </w:r>
                                </w:p>
                              </w:tc>
                            </w:tr>
                            <w:tr>
                              <w:trPr/>
                              <w:tc>
                                <w:tcPr>
                                  <w:tcW w:w="4437" w:type="dxa"/>
                                  <w:tcBorders/>
                                  <w:shd w:fill="auto" w:val="clear"/>
                                </w:tcPr>
                                <w:p>
                                  <w:pPr>
                                    <w:pStyle w:val="Normal"/>
                                    <w:jc w:val="center"/>
                                    <w:rPr>
                                      <w:sz w:val="26"/>
                                      <w:szCs w:val="26"/>
                                    </w:rPr>
                                  </w:pPr>
                                  <w:r>
                                    <w:rPr>
                                      <w:sz w:val="26"/>
                                      <w:szCs w:val="26"/>
                                    </w:rPr>
                                  </w:r>
                                  <w:bookmarkStart w:id="0" w:name="__UnoMark__185_83534207"/>
                                  <w:bookmarkStart w:id="1" w:name="__UnoMark__185_83534207"/>
                                  <w:bookmarkEnd w:id="1"/>
                                </w:p>
                              </w:tc>
                            </w:tr>
                          </w:tbl>
                        </w:txbxContent>
                      </wps:txbx>
                      <wps:bodyPr anchor="t" lIns="0" tIns="0" rIns="0" bIns="0">
                        <a:spAutoFit/>
                      </wps:bodyPr>
                    </wps:wsp>
                  </a:graphicData>
                </a:graphic>
              </wp:anchor>
            </w:drawing>
          </mc:Choice>
          <mc:Fallback>
            <w:pict>
              <v:rect style="position:absolute;rotation:0;width:221.85pt;height:79.7pt;mso-wrap-distance-left:9pt;mso-wrap-distance-right:9pt;mso-wrap-distance-top:0pt;mso-wrap-distance-bottom:0pt;margin-top:0.1pt;mso-position-vertical-relative:text;margin-left:279.4pt;mso-position-horizontal:right;mso-position-horizontal-relative:margin">
                <v:textbox inset="0in,0in,0in,0in">
                  <w:txbxContent>
                    <w:tbl>
                      <w:tblPr>
                        <w:tblpPr w:bottomFromText="0" w:horzAnchor="margin" w:leftFromText="180" w:rightFromText="180" w:tblpX="0" w:tblpXSpec="right" w:tblpY="2" w:topFromText="0" w:vertAnchor="text"/>
                        <w:tblW w:w="4437" w:type="dxa"/>
                        <w:jc w:val="right"/>
                        <w:tblInd w:w="0" w:type="dxa"/>
                        <w:tblBorders/>
                        <w:tblCellMar>
                          <w:top w:w="0" w:type="dxa"/>
                          <w:left w:w="108" w:type="dxa"/>
                          <w:bottom w:w="0" w:type="dxa"/>
                          <w:right w:w="108" w:type="dxa"/>
                        </w:tblCellMar>
                        <w:tblLook w:val="01e0" w:noVBand="0" w:noHBand="0" w:lastColumn="1" w:firstColumn="1" w:lastRow="1" w:firstRow="1"/>
                      </w:tblPr>
                      <w:tblGrid>
                        <w:gridCol w:w="4437"/>
                      </w:tblGrid>
                      <w:tr>
                        <w:trPr>
                          <w:trHeight w:val="1295" w:hRule="atLeast"/>
                        </w:trPr>
                        <w:tc>
                          <w:tcPr>
                            <w:tcW w:w="4437" w:type="dxa"/>
                            <w:tcBorders/>
                            <w:shd w:fill="auto" w:val="clear"/>
                          </w:tcPr>
                          <w:p>
                            <w:pPr>
                              <w:pStyle w:val="Normal"/>
                              <w:jc w:val="center"/>
                              <w:rPr/>
                            </w:pPr>
                            <w:r>
                              <w:rPr>
                                <w:sz w:val="26"/>
                                <w:szCs w:val="26"/>
                              </w:rPr>
                              <w:t>36238-СШ/Д26и от 25.10.2019</w:t>
                            </w:r>
                          </w:p>
                          <w:p>
                            <w:pPr>
                              <w:pStyle w:val="Normal"/>
                              <w:jc w:val="center"/>
                              <w:rPr>
                                <w:sz w:val="26"/>
                                <w:szCs w:val="26"/>
                              </w:rPr>
                            </w:pPr>
                            <w:r>
                              <w:rPr>
                                <w:sz w:val="26"/>
                                <w:szCs w:val="26"/>
                              </w:rPr>
                            </w:r>
                          </w:p>
                        </w:tc>
                      </w:tr>
                      <w:tr>
                        <w:trPr/>
                        <w:tc>
                          <w:tcPr>
                            <w:tcW w:w="4437" w:type="dxa"/>
                            <w:tcBorders/>
                            <w:shd w:fill="auto" w:val="clear"/>
                          </w:tcPr>
                          <w:p>
                            <w:pPr>
                              <w:pStyle w:val="Normal"/>
                              <w:jc w:val="center"/>
                              <w:rPr>
                                <w:sz w:val="26"/>
                                <w:szCs w:val="26"/>
                              </w:rPr>
                            </w:pPr>
                            <w:r>
                              <w:rPr>
                                <w:sz w:val="26"/>
                                <w:szCs w:val="26"/>
                              </w:rPr>
                            </w:r>
                            <w:bookmarkStart w:id="2" w:name="__UnoMark__185_83534207"/>
                            <w:bookmarkStart w:id="3" w:name="__UnoMark__185_83534207"/>
                            <w:bookmarkEnd w:id="3"/>
                          </w:p>
                        </w:tc>
                      </w:tr>
                    </w:tbl>
                  </w:txbxContent>
                </v:textbox>
                <w10:wrap type="square"/>
              </v:rect>
            </w:pict>
          </mc:Fallback>
        </mc:AlternateConten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spacing w:lineRule="auto" w:line="360"/>
        <w:ind w:firstLine="709"/>
        <w:jc w:val="both"/>
        <w:rPr>
          <w:sz w:val="26"/>
          <w:szCs w:val="26"/>
        </w:rPr>
      </w:pPr>
      <w:r>
        <w:rPr>
          <w:sz w:val="26"/>
          <w:szCs w:val="26"/>
        </w:rPr>
        <w:t xml:space="preserve">Минэкономразвития России в соответствии с разделом </w:t>
      </w:r>
      <w:r>
        <w:rPr>
          <w:sz w:val="26"/>
          <w:szCs w:val="26"/>
          <w:lang w:val="en-US"/>
        </w:rPr>
        <w:t>IV</w:t>
      </w:r>
      <w:r>
        <w:rPr>
          <w:sz w:val="26"/>
          <w:szCs w:val="26"/>
        </w:rP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br/>
        <w:t>от 17 декабря 2012 г. № 1318 (далее – Правила), рассмотрело проект федерального закона «О внесении изменений в Кодекс Российской Федерации об административных правонарушениях в части установления административной ответственности за несоздание условий для обеспечения качества и доступности медицинской помощи» (далее – проект акта), подготовленный и направленный для подготовки настоящего заключения Минздравом России (далее – разработчик), и сообщает следующее.</w:t>
      </w:r>
    </w:p>
    <w:p>
      <w:pPr>
        <w:pStyle w:val="Normal"/>
        <w:spacing w:lineRule="auto" w:line="360"/>
        <w:ind w:firstLine="709"/>
        <w:jc w:val="both"/>
        <w:rPr>
          <w:sz w:val="26"/>
          <w:szCs w:val="26"/>
        </w:rPr>
      </w:pPr>
      <w:r>
        <w:rPr>
          <w:sz w:val="26"/>
          <w:szCs w:val="26"/>
        </w:rPr>
        <w:t xml:space="preserve">Проект акта направлен разработчиком для подготовки настоящего заключения </w:t>
        <w:br/>
        <w:t>в третий раз.</w:t>
      </w:r>
    </w:p>
    <w:p>
      <w:pPr>
        <w:pStyle w:val="Normal"/>
        <w:spacing w:lineRule="auto" w:line="360"/>
        <w:ind w:firstLine="709"/>
        <w:jc w:val="both"/>
        <w:rPr>
          <w:sz w:val="26"/>
          <w:szCs w:val="26"/>
        </w:rPr>
      </w:pPr>
      <w:r>
        <w:rPr>
          <w:sz w:val="26"/>
          <w:szCs w:val="26"/>
        </w:rPr>
        <w:t xml:space="preserve">Ранее Минэкономразвития России письмами от 24 апреля 2019 г. </w:t>
        <w:br/>
        <w:t>№ 12936-СШ/Д26и,</w:t>
      </w:r>
      <w:r>
        <w:rPr/>
        <w:t xml:space="preserve"> </w:t>
      </w:r>
      <w:r>
        <w:rPr>
          <w:sz w:val="26"/>
          <w:szCs w:val="26"/>
        </w:rPr>
        <w:t xml:space="preserve">от 1 июля 2019 г. № 21291-ВЖ/Д26и направляло в адрес </w:t>
        <w:br/>
        <w:t>Минздрава России отрицательные заключения на проект акта.</w:t>
      </w:r>
    </w:p>
    <w:p>
      <w:pPr>
        <w:pStyle w:val="Normal"/>
        <w:spacing w:lineRule="auto" w:line="360"/>
        <w:ind w:firstLine="709"/>
        <w:jc w:val="both"/>
        <w:rPr>
          <w:sz w:val="26"/>
          <w:szCs w:val="26"/>
        </w:rPr>
      </w:pPr>
      <w:r>
        <w:rPr>
          <w:sz w:val="26"/>
          <w:szCs w:val="26"/>
        </w:rPr>
        <w:t>По результатам рассмотрения установлено, что при подготовке проекта акта процедуры, предусмотренные пунктами 9 – 23 правил проведения оценки регулирующего воздействия, разработчиком соблюдены.</w:t>
      </w:r>
    </w:p>
    <w:p>
      <w:pPr>
        <w:pStyle w:val="Normal"/>
        <w:spacing w:lineRule="auto" w:line="360"/>
        <w:ind w:firstLine="709"/>
        <w:jc w:val="both"/>
        <w:rPr>
          <w:sz w:val="26"/>
          <w:szCs w:val="26"/>
        </w:rPr>
      </w:pPr>
      <w:r>
        <w:rPr>
          <w:sz w:val="26"/>
          <w:szCs w:val="26"/>
        </w:rPr>
        <w:t xml:space="preserve">Разработчиком проведены публичные обсуждения доработанного проекта акта </w:t>
        <w:br/>
        <w:t xml:space="preserve">и сводного отчета в срок с 27 мая по 7 июня 2019 г., а также в срок с 10 по 23 сентября 2019 года. По итогам размещения текста проекта акта были получены замечания, представленные в сводке предложений по итогам размещения текста проекта акта, </w:t>
        <w:br/>
        <w:t xml:space="preserve">в которой представлены сведения об учете или о причинах отклонения представленных </w:t>
        <w:br/>
        <w:t>в рамках публичного обсуждения проекта акта замечаний и предложений.</w:t>
      </w:r>
    </w:p>
    <w:p>
      <w:pPr>
        <w:pStyle w:val="Normal"/>
        <w:spacing w:lineRule="auto" w:line="360"/>
        <w:ind w:firstLine="709"/>
        <w:jc w:val="both"/>
        <w:rPr/>
      </w:pPr>
      <w:r>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информационно-коммуникационной сети «Интернет» по адресу: </w:t>
      </w:r>
      <w:hyperlink r:id="rId2">
        <w:r>
          <w:rPr>
            <w:rStyle w:val="Style14"/>
            <w:sz w:val="26"/>
            <w:szCs w:val="26"/>
            <w:lang w:val="en-US"/>
          </w:rPr>
          <w:t>http</w:t>
        </w:r>
        <w:r>
          <w:rPr>
            <w:rStyle w:val="Style14"/>
            <w:sz w:val="26"/>
            <w:szCs w:val="26"/>
          </w:rPr>
          <w:t>://</w:t>
        </w:r>
        <w:r>
          <w:rPr>
            <w:rStyle w:val="Style14"/>
            <w:sz w:val="26"/>
            <w:szCs w:val="26"/>
            <w:lang w:val="en-US"/>
          </w:rPr>
          <w:t>regulation</w:t>
        </w:r>
        <w:r>
          <w:rPr>
            <w:rStyle w:val="Style14"/>
            <w:sz w:val="26"/>
            <w:szCs w:val="26"/>
          </w:rPr>
          <w:t>.</w:t>
        </w:r>
        <w:r>
          <w:rPr>
            <w:rStyle w:val="Style14"/>
            <w:sz w:val="26"/>
            <w:szCs w:val="26"/>
            <w:lang w:val="en-US"/>
          </w:rPr>
          <w:t>gov</w:t>
        </w:r>
        <w:r>
          <w:rPr>
            <w:rStyle w:val="Style14"/>
            <w:sz w:val="26"/>
            <w:szCs w:val="26"/>
          </w:rPr>
          <w:t>.</w:t>
        </w:r>
        <w:r>
          <w:rPr>
            <w:rStyle w:val="Style14"/>
            <w:sz w:val="26"/>
            <w:szCs w:val="26"/>
            <w:lang w:val="en-US"/>
          </w:rPr>
          <w:t>ru</w:t>
        </w:r>
      </w:hyperlink>
      <w:r>
        <w:rPr>
          <w:sz w:val="26"/>
          <w:szCs w:val="26"/>
        </w:rPr>
        <w:t xml:space="preserve"> (</w:t>
      </w:r>
      <w:r>
        <w:rPr>
          <w:sz w:val="26"/>
          <w:szCs w:val="26"/>
          <w:lang w:val="en-US"/>
        </w:rPr>
        <w:t>ID</w:t>
      </w:r>
      <w:r>
        <w:rPr>
          <w:sz w:val="26"/>
          <w:szCs w:val="26"/>
        </w:rPr>
        <w:t xml:space="preserve"> проекта акта 02/04/02-19/00088338).</w:t>
      </w:r>
    </w:p>
    <w:p>
      <w:pPr>
        <w:pStyle w:val="Normal"/>
        <w:spacing w:lineRule="auto" w:line="360"/>
        <w:ind w:firstLine="709"/>
        <w:jc w:val="both"/>
        <w:rPr>
          <w:sz w:val="26"/>
          <w:szCs w:val="26"/>
        </w:rPr>
      </w:pPr>
      <w:r>
        <w:rPr>
          <w:sz w:val="26"/>
          <w:szCs w:val="26"/>
        </w:rPr>
        <w:t xml:space="preserve">В соответствии с пунктом 28 Правил Минэкономразвития России с 7 октября </w:t>
        <w:br/>
        <w:t>по 11 октября 2019 г. провело дополнительные публичные консультации с субъектами предпринимательской и иной деятельности, а также с субъектами Российской Федерации</w:t>
        <w:br/>
        <w:t>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Министерство здравоохранения Республики Хакасия, Министерство здравоохранения Иркутской области, Министерство здравоохранения и демографической политики Магаданской области сообщили об отсутствии предложений и замечаний</w:t>
        <w:br/>
        <w:t>в проектируемым нормам.</w:t>
      </w:r>
    </w:p>
    <w:p>
      <w:pPr>
        <w:pStyle w:val="Normal"/>
        <w:spacing w:lineRule="auto" w:line="360"/>
        <w:ind w:firstLine="709"/>
        <w:jc w:val="both"/>
        <w:rPr>
          <w:sz w:val="26"/>
          <w:szCs w:val="26"/>
        </w:rPr>
      </w:pPr>
      <w:r>
        <w:rPr>
          <w:sz w:val="26"/>
          <w:szCs w:val="26"/>
        </w:rPr>
        <w:t>Замечания и предложения к проекту акта представили Министерство экономического развития и поддержки предпринимательства Кировской области, Департамент здравоохранения Тюменской области, Министерство экономического развития Хабаровского края, Департамент здравоохранения Ханты-Мансийского автономного округа-Югры (справка о результатах публичных консультаций прилагается).</w:t>
      </w:r>
    </w:p>
    <w:p>
      <w:pPr>
        <w:pStyle w:val="Normal"/>
        <w:spacing w:lineRule="auto" w:line="360"/>
        <w:ind w:firstLine="709"/>
        <w:jc w:val="both"/>
        <w:rPr>
          <w:sz w:val="26"/>
          <w:szCs w:val="26"/>
        </w:rPr>
      </w:pPr>
      <w:r>
        <w:rPr>
          <w:sz w:val="26"/>
          <w:szCs w:val="26"/>
        </w:rPr>
        <w:t xml:space="preserve">Проект акта разработан во исполнение поручения Заместителя Председателя Правительства Российской Федерации Т.А. Голиковой от 29 декабря 2018 г. </w:t>
        <w:br/>
        <w:t>№ ТГ-П12-9508.</w:t>
      </w:r>
    </w:p>
    <w:p>
      <w:pPr>
        <w:pStyle w:val="Normal"/>
        <w:spacing w:lineRule="auto" w:line="360"/>
        <w:ind w:firstLine="709"/>
        <w:jc w:val="both"/>
        <w:rPr>
          <w:sz w:val="26"/>
          <w:szCs w:val="26"/>
        </w:rPr>
      </w:pPr>
      <w:r>
        <w:rPr>
          <w:sz w:val="26"/>
          <w:szCs w:val="26"/>
        </w:rPr>
        <w:t xml:space="preserve">Проектом акта проектируется установление административной ответственности </w:t>
        <w:br/>
        <w:t xml:space="preserve">за невыполнение медицинской организацией обязанности создавать условия, обеспечивающие соответствие оказываемой медицинской помощи критериям оценки качества медицинской помощи, и административной ответственности за несоблюдение должностными лицами органов государственной власти субъекта Российской Федерации </w:t>
        <w:br/>
        <w:t xml:space="preserve">в сфере охраны здоровья требований законодательства об охране здоровья граждан </w:t>
        <w:br/>
        <w:t>в пределах полномочий условий для обеспечению качества и доступности медицинской помощи.</w:t>
      </w:r>
    </w:p>
    <w:p>
      <w:pPr>
        <w:pStyle w:val="Normal"/>
        <w:spacing w:lineRule="auto" w:line="360"/>
        <w:ind w:firstLine="709"/>
        <w:jc w:val="both"/>
        <w:rPr>
          <w:sz w:val="26"/>
          <w:szCs w:val="26"/>
        </w:rPr>
      </w:pPr>
      <w:r>
        <w:rPr>
          <w:sz w:val="26"/>
          <w:szCs w:val="26"/>
        </w:rPr>
        <w:t>По данным разработчика, ежегодно 60% обращений граждан, поступающих</w:t>
        <w:br/>
        <w:t xml:space="preserve">в Росздравнадзор, связаны с вопросами доступности и качества медицинской помощи. </w:t>
        <w:br/>
        <w:t xml:space="preserve">В частности, в 2017 г. по вопросу качества и безопасности медицинской деятельности поступило 47 021 обращение. На основании приведенной статистики разработчик указывает на необходимость установления административной ответственности </w:t>
        <w:br/>
        <w:t>за неисполнение медицинскими организациями обязанности создавать условия, обеспечивающие соответствие оказываемой медицинской помощи критериям оценки качества медицинской помощи, а также за неисполнение должностными лицами полномочий органов государственной власти субъекта Российской Федерации в сфере охраны здоровья.</w:t>
      </w:r>
    </w:p>
    <w:p>
      <w:pPr>
        <w:pStyle w:val="Normal"/>
        <w:spacing w:lineRule="auto" w:line="360"/>
        <w:ind w:firstLine="709"/>
        <w:jc w:val="both"/>
        <w:rPr>
          <w:sz w:val="26"/>
          <w:szCs w:val="26"/>
        </w:rPr>
      </w:pPr>
      <w:r>
        <w:rPr>
          <w:sz w:val="26"/>
          <w:szCs w:val="26"/>
        </w:rPr>
        <w:t xml:space="preserve">В заключении об оценке регулирующего воздействия на предыдущую редакцию проекта акта Минэкономразвития России (письмо от 1 июля 2019 г. № 21291-ВЖ/Д26и) указывало на ряд замечаний к проектируемому регулированию, которые в представленной редакции проекта акта разработчиком не учтены. </w:t>
      </w:r>
    </w:p>
    <w:p>
      <w:pPr>
        <w:pStyle w:val="Normal"/>
        <w:numPr>
          <w:ilvl w:val="0"/>
          <w:numId w:val="1"/>
        </w:numPr>
        <w:spacing w:lineRule="auto" w:line="360"/>
        <w:ind w:left="0" w:firstLine="709"/>
        <w:jc w:val="both"/>
        <w:rPr>
          <w:sz w:val="26"/>
          <w:szCs w:val="26"/>
        </w:rPr>
      </w:pPr>
      <w:r>
        <w:rPr>
          <w:sz w:val="26"/>
          <w:szCs w:val="26"/>
        </w:rPr>
        <w:t xml:space="preserve">В соответствии с проектируемой статьей 6.37 Кодекса об административных правонарушениях (далее – КоАП) «невыполнение медицинской организацией обязанности создавать условия, обеспечивающие соответствие оказываемой медицинской помощи критериям оценки качества медицинской помощи, выразившееся в непринятии мер </w:t>
        <w:br/>
        <w:t xml:space="preserve">по организации и осуществлению медицинской деятельности в соответствии </w:t>
        <w:br/>
        <w:t xml:space="preserve">с законодательными и иными нормативными правовыми актам Российской Федерации, </w:t>
        <w:br/>
        <w:t xml:space="preserve">в том числе порядками оказания медицинской помощи; по оснащению медицинской организацией в соответствии со стандартами оснащения медицинской организации, </w:t>
        <w:br/>
        <w:t>ее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и правилами проведения диагностических исследований; по обеспечению профессиональной подготовки, переподготовки и повышении квалификации медицинских работников в соответствии с трудовым законодательством Российской Федерации;</w:t>
        <w:br/>
        <w:t>по созданию, развитию и эксплуатации медицинских информационных систем медицинских организаций; по созданию условий для выполнения работником своих трудовых обязанностей, включая обеспечение необходимым оборудованием, влечет предупреждение или наложение административной ответственности на должностных лиц».</w:t>
      </w:r>
    </w:p>
    <w:p>
      <w:pPr>
        <w:pStyle w:val="Normal"/>
        <w:spacing w:lineRule="auto" w:line="360"/>
        <w:ind w:firstLine="709"/>
        <w:jc w:val="both"/>
        <w:rPr>
          <w:sz w:val="26"/>
          <w:szCs w:val="26"/>
        </w:rPr>
      </w:pPr>
      <w:r>
        <w:rPr>
          <w:sz w:val="26"/>
          <w:szCs w:val="26"/>
        </w:rPr>
        <w:t xml:space="preserve">Обращаем внимание, что Федеральным законом от 21 ноября 2011 г. № 323-ФЗ </w:t>
        <w:br/>
        <w:t>«Об основах охраны здоровья граждан в Российской Федерации» (далее – Закон № 323-ФЗ) «обязанность создавать условия» не относится к компетенции медицинских организаций.</w:t>
      </w:r>
    </w:p>
    <w:p>
      <w:pPr>
        <w:pStyle w:val="Normal"/>
        <w:spacing w:lineRule="auto" w:line="360"/>
        <w:ind w:firstLine="709"/>
        <w:jc w:val="both"/>
        <w:rPr>
          <w:sz w:val="26"/>
          <w:szCs w:val="26"/>
        </w:rPr>
      </w:pPr>
      <w:r>
        <w:rPr>
          <w:sz w:val="26"/>
          <w:szCs w:val="26"/>
        </w:rPr>
        <w:t xml:space="preserve">Кроме того, критерии оценки качества медицинской помощи, утвержденные приказом Минздрава России от 10 мая 2017 г. № 203н (далее – Критерии), применяются </w:t>
        <w:br/>
        <w:t xml:space="preserve">при оказании медицинской помощи в медицинских и иных организациях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w:t>
      </w:r>
    </w:p>
    <w:p>
      <w:pPr>
        <w:pStyle w:val="Normal"/>
        <w:spacing w:lineRule="auto" w:line="360"/>
        <w:ind w:firstLine="709"/>
        <w:jc w:val="both"/>
        <w:rPr>
          <w:sz w:val="26"/>
          <w:szCs w:val="26"/>
        </w:rPr>
      </w:pPr>
      <w:r>
        <w:rPr>
          <w:sz w:val="26"/>
          <w:szCs w:val="26"/>
        </w:rPr>
        <w:t>Минэкономразвития России в целом поддерживает необходимость предлагаемого разработчиком проектируемого регулирования в части обеспечения соответствия оказываемой медицинской помощи Критериям и обращает внимание, что деятельность медицинской организации должна соответствовать Критериям, они должны выполняться медицинской организацией, но обязанность создавать условия для этого на них Законом</w:t>
        <w:br/>
        <w:t xml:space="preserve">№ 323-ФЗ не возложена. </w:t>
      </w:r>
    </w:p>
    <w:p>
      <w:pPr>
        <w:pStyle w:val="Normal"/>
        <w:spacing w:lineRule="auto" w:line="360"/>
        <w:ind w:firstLine="709"/>
        <w:jc w:val="both"/>
        <w:rPr>
          <w:sz w:val="26"/>
          <w:szCs w:val="26"/>
        </w:rPr>
      </w:pPr>
      <w:r>
        <w:rPr>
          <w:sz w:val="26"/>
          <w:szCs w:val="26"/>
        </w:rPr>
        <w:t xml:space="preserve">Обращаем внимание, что, например, согласно пункту 38 постановления Правительства Российской Федерации от 5 мая 2018 г. № 555 «О единой государственной информационной системе в сфере здравоохранения» оператором единой государственной информационной системы является Министерство здравоохранения Российской Федерации. Подпунктом «б» статьи 39 указанного постановления установлено, что Минздрав России обеспечивает эксплуатацию и развитие единой государственной информационной системы. </w:t>
      </w:r>
    </w:p>
    <w:p>
      <w:pPr>
        <w:pStyle w:val="Normal"/>
        <w:spacing w:lineRule="auto" w:line="360"/>
        <w:ind w:firstLine="709"/>
        <w:jc w:val="both"/>
        <w:rPr>
          <w:sz w:val="26"/>
          <w:szCs w:val="26"/>
        </w:rPr>
      </w:pPr>
      <w:r>
        <w:rPr>
          <w:sz w:val="26"/>
          <w:szCs w:val="26"/>
        </w:rPr>
        <w:t>В соответствии со статьей 16 Закона № 323-ФЗ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относится к полномочиям органов государственной власти субъектов Российской Федерации в сфере охраны здоровья.</w:t>
      </w:r>
    </w:p>
    <w:p>
      <w:pPr>
        <w:pStyle w:val="Normal"/>
        <w:spacing w:lineRule="auto" w:line="360"/>
        <w:ind w:firstLine="709"/>
        <w:jc w:val="both"/>
        <w:rPr>
          <w:sz w:val="26"/>
          <w:szCs w:val="26"/>
        </w:rPr>
      </w:pPr>
      <w:r>
        <w:rPr>
          <w:sz w:val="26"/>
          <w:szCs w:val="26"/>
        </w:rPr>
        <w:t>Таким образом, перечисленные «условия» в проектируемой статье 6.37 не относятся к обязанностям медицинской организации. Представляется целесообразным уточнить диспозицию проектируемой статьи 6.37.</w:t>
      </w:r>
    </w:p>
    <w:p>
      <w:pPr>
        <w:pStyle w:val="Normal"/>
        <w:numPr>
          <w:ilvl w:val="0"/>
          <w:numId w:val="1"/>
        </w:numPr>
        <w:spacing w:lineRule="auto" w:line="360"/>
        <w:ind w:left="0" w:firstLine="709"/>
        <w:jc w:val="both"/>
        <w:rPr>
          <w:sz w:val="26"/>
          <w:szCs w:val="26"/>
        </w:rPr>
      </w:pPr>
      <w:r>
        <w:rPr>
          <w:sz w:val="26"/>
          <w:szCs w:val="26"/>
        </w:rPr>
        <w:t xml:space="preserve">Положение проектируемой статьи 6.38 предусматривает установление административной ответственности должностных лиц органов государственной власти субъекта Российской Федерации в сфере охраны здоровья за «непринятие мер </w:t>
        <w:br/>
        <w:t>по материально-техническому обеспечению деятельности медицинских организаций».</w:t>
      </w:r>
    </w:p>
    <w:p>
      <w:pPr>
        <w:pStyle w:val="Normal"/>
        <w:spacing w:lineRule="auto" w:line="360"/>
        <w:ind w:firstLine="709"/>
        <w:jc w:val="both"/>
        <w:rPr>
          <w:sz w:val="26"/>
          <w:szCs w:val="26"/>
        </w:rPr>
      </w:pPr>
      <w:r>
        <w:rPr>
          <w:sz w:val="26"/>
          <w:szCs w:val="26"/>
        </w:rPr>
        <w:t>Следует отметить, что Закон № 323-ФЗ не определяет и не раскрывает объем понятия «меры материально-технического обеспечения деятельности медицинских организаций».</w:t>
      </w:r>
    </w:p>
    <w:p>
      <w:pPr>
        <w:pStyle w:val="Normal"/>
        <w:spacing w:lineRule="auto" w:line="360"/>
        <w:ind w:firstLine="709"/>
        <w:jc w:val="both"/>
        <w:rPr>
          <w:sz w:val="26"/>
          <w:szCs w:val="26"/>
        </w:rPr>
      </w:pPr>
      <w:r>
        <w:rPr>
          <w:sz w:val="26"/>
          <w:szCs w:val="26"/>
        </w:rPr>
        <w:t xml:space="preserve">Таким образом, остается неясным, непринятие каких именно мер материально-технического обеспечения деятельности медицинских организаций должностными лицами органов государственной власти субъекта Российской Федерации в сфере охраны здоровья может быть оценено как неисполнение полномочий по обеспечению качества </w:t>
        <w:br/>
        <w:t>и доступности медицинской помощи.</w:t>
      </w:r>
    </w:p>
    <w:p>
      <w:pPr>
        <w:pStyle w:val="Normal"/>
        <w:spacing w:lineRule="auto" w:line="360"/>
        <w:ind w:firstLine="709"/>
        <w:jc w:val="both"/>
        <w:rPr>
          <w:sz w:val="26"/>
          <w:szCs w:val="26"/>
        </w:rPr>
      </w:pPr>
      <w:r>
        <w:rPr>
          <w:sz w:val="26"/>
          <w:szCs w:val="26"/>
        </w:rPr>
        <w:t>В связи с изложенным требуется уточнение указанного положения, поскольку проектируемое положение несет риск неоднозначного толкования и возможности злоупотребления при правоприменении проектируемой нормы.</w:t>
      </w:r>
    </w:p>
    <w:p>
      <w:pPr>
        <w:pStyle w:val="Normal"/>
        <w:spacing w:lineRule="auto" w:line="360"/>
        <w:ind w:firstLine="709"/>
        <w:jc w:val="both"/>
        <w:rPr>
          <w:sz w:val="26"/>
          <w:szCs w:val="26"/>
        </w:rPr>
      </w:pPr>
      <w:r>
        <w:rPr>
          <w:sz w:val="26"/>
          <w:szCs w:val="26"/>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pPr>
        <w:pStyle w:val="Normal"/>
        <w:spacing w:lineRule="auto" w:line="360"/>
        <w:ind w:firstLine="709"/>
        <w:jc w:val="both"/>
        <w:rPr>
          <w:sz w:val="26"/>
          <w:szCs w:val="26"/>
        </w:rPr>
      </w:pPr>
      <w:r>
        <w:rPr>
          <w:sz w:val="26"/>
          <w:szCs w:val="26"/>
        </w:rPr>
        <w:t xml:space="preserve">Таким образом, на основе проведенной оценки регулирующего воздействия </w:t>
        <w:br/>
        <w:t xml:space="preserve">проекта акта 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 а также о наличии в нем положений, вводящих избыточные обязанности, запреты и ограничения для физических и юридических лиц </w:t>
        <w:br/>
        <w:t>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pPr>
        <w:pStyle w:val="Normal"/>
        <w:spacing w:lineRule="auto" w:line="360"/>
        <w:ind w:firstLine="709"/>
        <w:jc w:val="both"/>
        <w:rPr>
          <w:sz w:val="26"/>
          <w:szCs w:val="26"/>
        </w:rPr>
      </w:pPr>
      <w:r>
        <w:rPr>
          <w:sz w:val="26"/>
          <w:szCs w:val="26"/>
        </w:rPr>
        <w:t>Приложение: на 6 л. в 1 экз.</w:t>
      </w:r>
    </w:p>
    <w:p>
      <w:pPr>
        <w:pStyle w:val="Normal"/>
        <w:spacing w:lineRule="auto" w:line="360"/>
        <w:ind w:firstLine="709"/>
        <w:jc w:val="both"/>
        <w:rPr/>
      </w:pPr>
      <w:r>
        <w:rPr/>
      </w:r>
    </w:p>
    <w:sectPr>
      <w:headerReference w:type="default" r:id="rId3"/>
      <w:type w:val="nextPage"/>
      <w:pgSz w:w="11906" w:h="16838"/>
      <w:pgMar w:left="1134" w:right="567" w:header="709" w:top="1134" w:footer="0"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768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3"/>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52.1pt;mso-position-horizontal:center;mso-position-horizontal-relative:margin">
              <v:fill opacity="0f"/>
              <v:textbox inset="0in,0in,0in,0in">
                <w:txbxContent>
                  <w:p>
                    <w:pPr>
                      <w:pStyle w:val="Style23"/>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6"/>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509" w:hanging="180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29a7"/>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semiHidden/>
    <w:qFormat/>
    <w:rPr/>
  </w:style>
  <w:style w:type="character" w:styleId="Pagenumber">
    <w:name w:val="page number"/>
    <w:basedOn w:val="DefaultParagraphFont"/>
    <w:qFormat/>
    <w:rsid w:val="00a529a7"/>
    <w:rPr/>
  </w:style>
  <w:style w:type="character" w:styleId="Style14">
    <w:name w:val="Интернет-ссылка"/>
    <w:rsid w:val="0090466c"/>
    <w:rPr>
      <w:color w:val="0000FF"/>
      <w:u w:val="single"/>
    </w:rPr>
  </w:style>
  <w:style w:type="character" w:styleId="Style15" w:customStyle="1">
    <w:name w:val="Текст выноски Знак"/>
    <w:link w:val="aa"/>
    <w:qFormat/>
    <w:rsid w:val="00d12f6a"/>
    <w:rPr>
      <w:rFonts w:ascii="Tahoma" w:hAnsi="Tahoma" w:cs="Tahoma"/>
      <w:sz w:val="16"/>
      <w:szCs w:val="16"/>
    </w:rPr>
  </w:style>
  <w:style w:type="character" w:styleId="Style16" w:customStyle="1">
    <w:name w:val="Текст сноски Знак"/>
    <w:basedOn w:val="DefaultParagraphFont"/>
    <w:link w:val="ac"/>
    <w:qFormat/>
    <w:rsid w:val="00e32eca"/>
    <w:rPr/>
  </w:style>
  <w:style w:type="character" w:styleId="Style17">
    <w:name w:val="Привязка сноски"/>
    <w:rPr>
      <w:vertAlign w:val="superscript"/>
    </w:rPr>
  </w:style>
  <w:style w:type="character" w:styleId="FootnoteCharacters">
    <w:name w:val="Footnote Characters"/>
    <w:qFormat/>
    <w:rsid w:val="00e32eca"/>
    <w:rPr>
      <w:vertAlign w:val="superscrip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rPr>
  </w:style>
  <w:style w:type="character" w:styleId="ListLabel6">
    <w:name w:val="ListLabel 6"/>
    <w:qFormat/>
    <w:rPr>
      <w:b/>
    </w:rPr>
  </w:style>
  <w:style w:type="character" w:styleId="ListLabel7">
    <w:name w:val="ListLabel 7"/>
    <w:qFormat/>
    <w:rPr>
      <w:rFonts w:cs="Times New Roman"/>
      <w:sz w:val="26"/>
    </w:rPr>
  </w:style>
  <w:style w:type="character" w:styleId="ListLabel8">
    <w:name w:val="ListLabel 8"/>
    <w:qFormat/>
    <w:rPr>
      <w:rFonts w:cs="Times New Roman"/>
      <w:sz w:val="26"/>
    </w:rPr>
  </w:style>
  <w:style w:type="character" w:styleId="ListLabel9">
    <w:name w:val="ListLabel 9"/>
    <w:qFormat/>
    <w:rPr>
      <w:rFonts w:cs="Times New Roman"/>
      <w:sz w:val="26"/>
    </w:rPr>
  </w:style>
  <w:style w:type="character" w:styleId="ListLabel10">
    <w:name w:val="ListLabel 10"/>
    <w:qFormat/>
    <w:rPr>
      <w:rFonts w:cs="Times New Roman"/>
      <w:sz w:val="26"/>
    </w:rPr>
  </w:style>
  <w:style w:type="character" w:styleId="ListLabel11">
    <w:name w:val="ListLabel 11"/>
    <w:qFormat/>
    <w:rPr>
      <w:rFonts w:cs="Times New Roman"/>
      <w:sz w:val="26"/>
    </w:rPr>
  </w:style>
  <w:style w:type="character" w:styleId="ListLabel12">
    <w:name w:val="ListLabel 12"/>
    <w:qFormat/>
    <w:rPr>
      <w:rFonts w:cs="Times New Roman"/>
      <w:sz w:val="26"/>
    </w:rPr>
  </w:style>
  <w:style w:type="character" w:styleId="ListLabel13">
    <w:name w:val="ListLabel 13"/>
    <w:qFormat/>
    <w:rPr>
      <w:rFonts w:cs="Times New Roman"/>
      <w:sz w:val="26"/>
    </w:rPr>
  </w:style>
  <w:style w:type="character" w:styleId="ListLabel14">
    <w:name w:val="ListLabel 14"/>
    <w:qFormat/>
    <w:rPr>
      <w:rFonts w:cs="Times New Roman"/>
      <w:sz w:val="26"/>
    </w:rPr>
  </w:style>
  <w:style w:type="character" w:styleId="ListLabel15">
    <w:name w:val="ListLabel 15"/>
    <w:qFormat/>
    <w:rPr>
      <w:rFonts w:cs="Times New Roman"/>
      <w:sz w:val="26"/>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sz w:val="26"/>
      <w:szCs w:val="26"/>
      <w:lang w:val="en-US"/>
    </w:rPr>
  </w:style>
  <w:style w:type="character" w:styleId="ListLabel25">
    <w:name w:val="ListLabel 25"/>
    <w:qFormat/>
    <w:rPr>
      <w:sz w:val="26"/>
      <w:szCs w:val="26"/>
    </w:rPr>
  </w:style>
  <w:style w:type="paragraph" w:styleId="Style18">
    <w:name w:val="Заголовок"/>
    <w:basedOn w:val="Normal"/>
    <w:next w:val="Style19"/>
    <w:qFormat/>
    <w:pPr>
      <w:keepNext w:val="true"/>
      <w:spacing w:before="240" w:after="120"/>
    </w:pPr>
    <w:rPr>
      <w:rFonts w:ascii="Liberation Sans" w:hAnsi="Liberation Sans" w:eastAsia="Droid Sans Fallback"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qFormat/>
    <w:rsid w:val="00a529a7"/>
    <w:pPr>
      <w:spacing w:beforeAutospacing="1" w:afterAutospacing="1"/>
    </w:pPr>
    <w:rPr/>
  </w:style>
  <w:style w:type="paragraph" w:styleId="Style23">
    <w:name w:val="Header"/>
    <w:basedOn w:val="Normal"/>
    <w:rsid w:val="00a529a7"/>
    <w:pPr>
      <w:tabs>
        <w:tab w:val="center" w:pos="4677" w:leader="none"/>
        <w:tab w:val="right" w:pos="9355" w:leader="none"/>
      </w:tabs>
    </w:pPr>
    <w:rPr/>
  </w:style>
  <w:style w:type="paragraph" w:styleId="Style24">
    <w:name w:val="Footer"/>
    <w:basedOn w:val="Normal"/>
    <w:rsid w:val="00a529a7"/>
    <w:pPr>
      <w:tabs>
        <w:tab w:val="center" w:pos="4677" w:leader="none"/>
        <w:tab w:val="right" w:pos="9355" w:leader="none"/>
      </w:tabs>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a529a7"/>
    <w:pPr>
      <w:spacing w:beforeAutospacing="1" w:afterAutospacing="1"/>
    </w:pPr>
    <w:rPr>
      <w:rFonts w:ascii="Tahoma" w:hAnsi="Tahoma"/>
      <w:sz w:val="20"/>
      <w:szCs w:val="20"/>
      <w:lang w:val="en-US" w:eastAsia="en-US"/>
    </w:rPr>
  </w:style>
  <w:style w:type="paragraph" w:styleId="ConsPlusNormal" w:customStyle="1">
    <w:name w:val="ConsPlusNormal"/>
    <w:qFormat/>
    <w:rsid w:val="00787896"/>
    <w:pPr>
      <w:widowControl w:val="false"/>
      <w:suppressAutoHyphens w:val="true"/>
      <w:bidi w:val="0"/>
      <w:ind w:firstLine="720"/>
      <w:jc w:val="left"/>
    </w:pPr>
    <w:rPr>
      <w:rFonts w:ascii="Arial" w:hAnsi="Arial" w:eastAsia="Arial" w:cs="Arial"/>
      <w:color w:val="auto"/>
      <w:kern w:val="0"/>
      <w:sz w:val="24"/>
      <w:szCs w:val="20"/>
      <w:lang w:eastAsia="ar-SA" w:val="ru-RU" w:bidi="ar-SA"/>
    </w:rPr>
  </w:style>
  <w:style w:type="paragraph" w:styleId="ConsPlusNonformat" w:customStyle="1">
    <w:name w:val="ConsPlusNonformat"/>
    <w:uiPriority w:val="99"/>
    <w:qFormat/>
    <w:rsid w:val="00c63c9c"/>
    <w:pPr>
      <w:widowControl w:val="false"/>
      <w:bidi w:val="0"/>
      <w:jc w:val="left"/>
    </w:pPr>
    <w:rPr>
      <w:rFonts w:ascii="Courier New" w:hAnsi="Courier New" w:cs="Courier New" w:eastAsia="Times New Roman"/>
      <w:color w:val="auto"/>
      <w:kern w:val="0"/>
      <w:sz w:val="24"/>
      <w:szCs w:val="20"/>
      <w:lang w:val="ru-RU" w:eastAsia="ru-RU" w:bidi="ar-SA"/>
    </w:rPr>
  </w:style>
  <w:style w:type="paragraph" w:styleId="ConsPlusTitle" w:customStyle="1">
    <w:name w:val="ConsPlusTitle"/>
    <w:uiPriority w:val="99"/>
    <w:qFormat/>
    <w:rsid w:val="00c63c9c"/>
    <w:pPr>
      <w:widowControl w:val="false"/>
      <w:bidi w:val="0"/>
      <w:jc w:val="left"/>
    </w:pPr>
    <w:rPr>
      <w:rFonts w:ascii="Times New Roman" w:hAnsi="Times New Roman" w:eastAsia="Times New Roman" w:cs="Times New Roman"/>
      <w:b/>
      <w:bCs/>
      <w:color w:val="auto"/>
      <w:kern w:val="0"/>
      <w:sz w:val="28"/>
      <w:szCs w:val="28"/>
      <w:lang w:val="ru-RU" w:eastAsia="ru-RU" w:bidi="ar-SA"/>
    </w:rPr>
  </w:style>
  <w:style w:type="paragraph" w:styleId="Style25" w:customStyle="1">
    <w:name w:val="Стиль"/>
    <w:qFormat/>
    <w:rsid w:val="005a0cd8"/>
    <w:pPr>
      <w:widowControl w:val="false"/>
      <w:bidi w:val="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b"/>
    <w:qFormat/>
    <w:rsid w:val="00d12f6a"/>
    <w:pPr/>
    <w:rPr>
      <w:rFonts w:ascii="Tahoma" w:hAnsi="Tahoma" w:cs="Tahoma"/>
      <w:sz w:val="16"/>
      <w:szCs w:val="16"/>
    </w:rPr>
  </w:style>
  <w:style w:type="paragraph" w:styleId="Style26">
    <w:name w:val="Footnote Text"/>
    <w:basedOn w:val="Normal"/>
    <w:link w:val="ad"/>
    <w:rsid w:val="00e32eca"/>
    <w:pPr/>
    <w:rPr>
      <w:sz w:val="20"/>
      <w:szCs w:val="20"/>
    </w:rPr>
  </w:style>
  <w:style w:type="paragraph" w:styleId="Style27">
    <w:name w:val="Содержимое врезки"/>
    <w:basedOn w:val="Normal"/>
    <w:qFormat/>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 w:type="table" w:styleId="a7">
    <w:name w:val="Table Grid"/>
    <w:basedOn w:val="a1"/>
    <w:rsid w:val="00a529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gulation.gov.ru/"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C40A-2101-4C8A-A408-C6E77DEB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LibreOffice/6.0.7.3.0$Linux_X86_64 LibreOffice_project/00m0$Build-3</Application>
  <Pages>3</Pages>
  <Words>1159</Words>
  <Characters>8897</Characters>
  <CharactersWithSpaces>10061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2019-10-29T12:51:00Z</dcterms:created>
  <dc:creator>SubbotinaMM</dc:creator>
  <dc:description/>
  <dc:language>ru-RU</dc:language>
  <cp:lastModifiedBy>Субботина Мария Михайловна</cp:lastModifiedBy>
  <cp:lastPrinted>2019-10-18T11:06:00Z</cp:lastPrinted>
  <dcterms:modified xsi:type="dcterms:W3CDTF">2019-10-29T12:51:00Z</dcterms:modified>
  <cp:revision>2</cp:revision>
  <dc:subject/>
  <dc:title>Росалкогольрегулирования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