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B56EDA" w:rsidRPr="00AD452A" w:rsidTr="001C42B7">
        <w:trPr>
          <w:trHeight w:val="1295"/>
        </w:trPr>
        <w:tc>
          <w:tcPr>
            <w:tcW w:w="4437" w:type="dxa"/>
          </w:tcPr>
          <w:p w:rsidR="00B56EDA" w:rsidRDefault="00B56EDA" w:rsidP="001C42B7">
            <w:pPr>
              <w:jc w:val="center"/>
              <w:rPr>
                <w:sz w:val="26"/>
                <w:szCs w:val="26"/>
              </w:rPr>
            </w:pPr>
            <w:r>
              <w:rPr>
                <w:sz w:val="26"/>
                <w:szCs w:val="26"/>
              </w:rPr>
              <w:t xml:space="preserve">№ </w:t>
            </w:r>
            <w:r w:rsidRPr="00207410">
              <w:rPr>
                <w:sz w:val="26"/>
                <w:szCs w:val="26"/>
              </w:rPr>
              <w:t>11573-СШ/Д26и</w:t>
            </w:r>
            <w:r>
              <w:rPr>
                <w:sz w:val="26"/>
                <w:szCs w:val="26"/>
              </w:rPr>
              <w:t xml:space="preserve"> от 28.04.2017</w:t>
            </w:r>
          </w:p>
          <w:p w:rsidR="00B56EDA" w:rsidRPr="00AD452A" w:rsidRDefault="00B56EDA" w:rsidP="001C42B7">
            <w:pPr>
              <w:jc w:val="center"/>
              <w:rPr>
                <w:sz w:val="26"/>
                <w:szCs w:val="26"/>
              </w:rPr>
            </w:pPr>
          </w:p>
          <w:p w:rsidR="00B56EDA" w:rsidRPr="00AD452A" w:rsidRDefault="00B56EDA" w:rsidP="001C42B7">
            <w:pPr>
              <w:jc w:val="center"/>
              <w:rPr>
                <w:sz w:val="26"/>
                <w:szCs w:val="26"/>
              </w:rPr>
            </w:pPr>
          </w:p>
          <w:p w:rsidR="00B56EDA" w:rsidRPr="00AD452A" w:rsidRDefault="00B56EDA" w:rsidP="001C42B7">
            <w:pPr>
              <w:jc w:val="center"/>
              <w:rPr>
                <w:sz w:val="26"/>
                <w:szCs w:val="26"/>
              </w:rPr>
            </w:pPr>
          </w:p>
        </w:tc>
      </w:tr>
      <w:tr w:rsidR="00B56EDA" w:rsidRPr="00AD452A" w:rsidTr="001C42B7">
        <w:tc>
          <w:tcPr>
            <w:tcW w:w="4437" w:type="dxa"/>
          </w:tcPr>
          <w:p w:rsidR="00B56EDA" w:rsidRPr="00AD452A" w:rsidRDefault="00B56EDA" w:rsidP="001C42B7">
            <w:pPr>
              <w:jc w:val="center"/>
              <w:rPr>
                <w:sz w:val="26"/>
                <w:szCs w:val="26"/>
              </w:rPr>
            </w:pPr>
          </w:p>
        </w:tc>
      </w:tr>
    </w:tbl>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Default="00B56EDA" w:rsidP="00A529A7">
      <w:pPr>
        <w:jc w:val="both"/>
        <w:rPr>
          <w:sz w:val="26"/>
          <w:szCs w:val="26"/>
        </w:rPr>
      </w:pPr>
    </w:p>
    <w:p w:rsidR="00B56ED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Pr="00AD452A" w:rsidRDefault="00B56EDA" w:rsidP="00A529A7">
      <w:pPr>
        <w:jc w:val="both"/>
        <w:rPr>
          <w:sz w:val="26"/>
          <w:szCs w:val="26"/>
        </w:rPr>
      </w:pPr>
    </w:p>
    <w:p w:rsidR="00B56EDA" w:rsidRDefault="00B56EDA" w:rsidP="00A529A7">
      <w:pPr>
        <w:jc w:val="both"/>
        <w:rPr>
          <w:sz w:val="26"/>
          <w:szCs w:val="26"/>
        </w:rPr>
      </w:pPr>
    </w:p>
    <w:p w:rsidR="00B56EDA" w:rsidRDefault="00B56EDA" w:rsidP="00A529A7">
      <w:pPr>
        <w:jc w:val="both"/>
        <w:rPr>
          <w:sz w:val="26"/>
          <w:szCs w:val="26"/>
        </w:rPr>
      </w:pPr>
    </w:p>
    <w:p w:rsidR="00B56EDA" w:rsidRDefault="00B56EDA" w:rsidP="00A529A7">
      <w:pPr>
        <w:jc w:val="both"/>
        <w:rPr>
          <w:sz w:val="26"/>
          <w:szCs w:val="26"/>
        </w:rPr>
      </w:pPr>
    </w:p>
    <w:p w:rsidR="00B56EDA" w:rsidRDefault="00B56EDA" w:rsidP="00A529A7">
      <w:pPr>
        <w:spacing w:line="360" w:lineRule="auto"/>
        <w:jc w:val="center"/>
        <w:rPr>
          <w:sz w:val="26"/>
          <w:szCs w:val="26"/>
        </w:rPr>
      </w:pPr>
    </w:p>
    <w:p w:rsidR="00B56EDA" w:rsidRPr="00AD452A" w:rsidRDefault="00B56EDA" w:rsidP="00A529A7">
      <w:pPr>
        <w:spacing w:line="360" w:lineRule="auto"/>
        <w:jc w:val="center"/>
        <w:rPr>
          <w:sz w:val="26"/>
          <w:szCs w:val="26"/>
        </w:rPr>
      </w:pPr>
      <w:r w:rsidRPr="00AD452A">
        <w:rPr>
          <w:sz w:val="26"/>
          <w:szCs w:val="26"/>
        </w:rPr>
        <w:t xml:space="preserve">ЗАКЛЮЧЕНИЕ </w:t>
      </w:r>
    </w:p>
    <w:p w:rsidR="00B56EDA" w:rsidRPr="00AD452A" w:rsidRDefault="00B56EDA" w:rsidP="00A529A7">
      <w:pPr>
        <w:jc w:val="center"/>
        <w:rPr>
          <w:sz w:val="26"/>
          <w:szCs w:val="26"/>
        </w:rPr>
      </w:pPr>
      <w:r w:rsidRPr="00AD452A">
        <w:rPr>
          <w:sz w:val="26"/>
          <w:szCs w:val="26"/>
        </w:rPr>
        <w:t>об оценке регулирующего воздействия</w:t>
      </w:r>
    </w:p>
    <w:p w:rsidR="00B56EDA" w:rsidRPr="00AD452A" w:rsidRDefault="00B56EDA" w:rsidP="0090466C">
      <w:pPr>
        <w:jc w:val="center"/>
        <w:rPr>
          <w:sz w:val="26"/>
          <w:szCs w:val="26"/>
        </w:rPr>
      </w:pPr>
      <w:r w:rsidRPr="00AD452A">
        <w:rPr>
          <w:sz w:val="26"/>
          <w:szCs w:val="26"/>
        </w:rPr>
        <w:t xml:space="preserve">на </w:t>
      </w:r>
      <w:r w:rsidRPr="00F12BA4">
        <w:rPr>
          <w:sz w:val="26"/>
          <w:szCs w:val="26"/>
        </w:rPr>
        <w:t xml:space="preserve">проект </w:t>
      </w:r>
      <w:r w:rsidRPr="007B7FA8">
        <w:rPr>
          <w:sz w:val="26"/>
          <w:szCs w:val="26"/>
        </w:rPr>
        <w:t>решения Евразийской экономической комиссии</w:t>
      </w:r>
      <w:r>
        <w:rPr>
          <w:sz w:val="26"/>
          <w:szCs w:val="26"/>
        </w:rPr>
        <w:t xml:space="preserve"> «О внесении изменений № 2 </w:t>
      </w:r>
      <w:r>
        <w:rPr>
          <w:sz w:val="26"/>
          <w:szCs w:val="26"/>
        </w:rPr>
        <w:br/>
        <w:t>в технический регламент Таможенного союза «О безопасности игрушек» (ТР ТС 008/2011)</w:t>
      </w:r>
      <w:r w:rsidRPr="007B7FA8">
        <w:rPr>
          <w:sz w:val="26"/>
          <w:szCs w:val="26"/>
        </w:rPr>
        <w:t xml:space="preserve">  </w:t>
      </w:r>
    </w:p>
    <w:p w:rsidR="00B56EDA" w:rsidRDefault="00B56EDA" w:rsidP="00D165D5"/>
    <w:p w:rsidR="00B56EDA" w:rsidRDefault="00B56EDA" w:rsidP="00376B24">
      <w:pPr>
        <w:autoSpaceDE w:val="0"/>
        <w:autoSpaceDN w:val="0"/>
        <w:adjustRightInd w:val="0"/>
        <w:spacing w:line="348" w:lineRule="auto"/>
        <w:ind w:firstLine="709"/>
        <w:jc w:val="both"/>
        <w:rPr>
          <w:sz w:val="26"/>
          <w:szCs w:val="26"/>
        </w:rPr>
      </w:pPr>
    </w:p>
    <w:p w:rsidR="00B56EDA" w:rsidRDefault="00B56EDA" w:rsidP="007B7FA8">
      <w:pPr>
        <w:autoSpaceDE w:val="0"/>
        <w:autoSpaceDN w:val="0"/>
        <w:adjustRightInd w:val="0"/>
        <w:spacing w:line="348" w:lineRule="auto"/>
        <w:ind w:firstLine="709"/>
        <w:jc w:val="both"/>
        <w:rPr>
          <w:sz w:val="26"/>
          <w:szCs w:val="26"/>
        </w:rPr>
      </w:pPr>
      <w:r w:rsidRPr="002024AA">
        <w:rPr>
          <w:sz w:val="26"/>
          <w:szCs w:val="26"/>
        </w:rPr>
        <w:t>Минэкономразвития России в соответствии с разделом V</w:t>
      </w:r>
      <w:r>
        <w:rPr>
          <w:sz w:val="26"/>
          <w:szCs w:val="26"/>
          <w:lang w:val="en-US"/>
        </w:rPr>
        <w:t>I</w:t>
      </w:r>
      <w:r w:rsidRPr="002024AA">
        <w:rPr>
          <w:sz w:val="26"/>
          <w:szCs w:val="26"/>
        </w:rPr>
        <w:t xml:space="preserve">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sidRPr="00F237D9">
        <w:rPr>
          <w:sz w:val="26"/>
          <w:szCs w:val="26"/>
        </w:rPr>
        <w:t xml:space="preserve">проект </w:t>
      </w:r>
      <w:r w:rsidRPr="007B7FA8">
        <w:rPr>
          <w:sz w:val="26"/>
          <w:szCs w:val="26"/>
        </w:rPr>
        <w:t xml:space="preserve">решения Евразийской экономической комиссии «О внесении изменений № 2 в технический регламент Таможенного союза «О безопасности игрушек» (ТР ТС 008/2011) </w:t>
      </w:r>
      <w:r>
        <w:rPr>
          <w:sz w:val="26"/>
          <w:szCs w:val="26"/>
        </w:rPr>
        <w:t>(</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Минпромторгом России – </w:t>
      </w:r>
      <w:r w:rsidRPr="007B7FA8">
        <w:rPr>
          <w:sz w:val="26"/>
          <w:szCs w:val="26"/>
        </w:rPr>
        <w:t xml:space="preserve">федеральным органом исполнительной власти, ответственным за подготовку проекта </w:t>
      </w:r>
      <w:r>
        <w:rPr>
          <w:sz w:val="26"/>
          <w:szCs w:val="26"/>
        </w:rPr>
        <w:t>акта в Российской Федерации</w:t>
      </w:r>
      <w:r w:rsidRPr="002024AA">
        <w:rPr>
          <w:sz w:val="26"/>
          <w:szCs w:val="26"/>
        </w:rPr>
        <w:t>, и сообщает следующее.</w:t>
      </w:r>
    </w:p>
    <w:p w:rsidR="00B56EDA" w:rsidRDefault="00B56EDA" w:rsidP="00DD655F">
      <w:pPr>
        <w:autoSpaceDE w:val="0"/>
        <w:autoSpaceDN w:val="0"/>
        <w:adjustRightInd w:val="0"/>
        <w:spacing w:line="348" w:lineRule="auto"/>
        <w:ind w:firstLine="709"/>
        <w:jc w:val="both"/>
        <w:rPr>
          <w:sz w:val="26"/>
          <w:szCs w:val="26"/>
        </w:rPr>
      </w:pPr>
      <w:bookmarkStart w:id="0" w:name="_GoBack"/>
      <w:bookmarkEnd w:id="0"/>
      <w:r>
        <w:rPr>
          <w:sz w:val="26"/>
          <w:szCs w:val="26"/>
        </w:rPr>
        <w:t xml:space="preserve">Разработчиком проекта акта является Республика Казахстан. </w:t>
      </w:r>
    </w:p>
    <w:p w:rsidR="00B56EDA" w:rsidRDefault="00B56EDA" w:rsidP="00DD655F">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Минпромторгом России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B56EDA" w:rsidRDefault="00B56EDA" w:rsidP="00DD655F">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B56EDA" w:rsidRDefault="00B56EDA" w:rsidP="00DD655F">
      <w:pPr>
        <w:autoSpaceDE w:val="0"/>
        <w:autoSpaceDN w:val="0"/>
        <w:adjustRightInd w:val="0"/>
        <w:spacing w:line="348" w:lineRule="auto"/>
        <w:ind w:firstLine="709"/>
        <w:jc w:val="both"/>
        <w:rPr>
          <w:sz w:val="26"/>
          <w:szCs w:val="26"/>
        </w:rPr>
      </w:pPr>
      <w:r w:rsidRPr="000F1D51">
        <w:rPr>
          <w:sz w:val="26"/>
          <w:szCs w:val="26"/>
        </w:rPr>
        <w:t xml:space="preserve">Минпромторгом России </w:t>
      </w:r>
      <w:r w:rsidRPr="002024AA">
        <w:rPr>
          <w:sz w:val="26"/>
          <w:szCs w:val="26"/>
        </w:rPr>
        <w:t>проведены</w:t>
      </w:r>
      <w:r>
        <w:rPr>
          <w:sz w:val="26"/>
          <w:szCs w:val="26"/>
        </w:rPr>
        <w:t xml:space="preserve"> </w:t>
      </w:r>
      <w:r w:rsidRPr="002024AA">
        <w:rPr>
          <w:sz w:val="26"/>
          <w:szCs w:val="26"/>
        </w:rPr>
        <w:t xml:space="preserve">публичные обсуждения </w:t>
      </w:r>
      <w:r>
        <w:rPr>
          <w:sz w:val="26"/>
          <w:szCs w:val="26"/>
        </w:rPr>
        <w:t xml:space="preserve">проекта акта в срок </w:t>
      </w:r>
      <w:r>
        <w:rPr>
          <w:sz w:val="26"/>
          <w:szCs w:val="26"/>
        </w:rPr>
        <w:br/>
        <w:t>с 10 февраля по 14 марта 2017 года.</w:t>
      </w:r>
    </w:p>
    <w:p w:rsidR="00B56EDA" w:rsidRDefault="00B56EDA" w:rsidP="00DD655F">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w:t>
      </w:r>
      <w:r w:rsidRPr="000F1D51">
        <w:rPr>
          <w:sz w:val="26"/>
          <w:szCs w:val="26"/>
        </w:rPr>
        <w:t xml:space="preserve">Минпромторгом России </w:t>
      </w:r>
      <w:r>
        <w:rPr>
          <w:sz w:val="26"/>
          <w:szCs w:val="26"/>
        </w:rPr>
        <w:t xml:space="preserve">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проекта акта 02/10/02-17/00062103)</w:t>
      </w:r>
      <w:r w:rsidRPr="00D12F6A">
        <w:rPr>
          <w:sz w:val="26"/>
          <w:szCs w:val="26"/>
        </w:rPr>
        <w:t>.</w:t>
      </w:r>
      <w:r>
        <w:rPr>
          <w:sz w:val="26"/>
          <w:szCs w:val="26"/>
        </w:rPr>
        <w:t xml:space="preserve"> </w:t>
      </w:r>
      <w:r w:rsidRPr="000F1D51">
        <w:rPr>
          <w:sz w:val="26"/>
          <w:szCs w:val="26"/>
        </w:rPr>
        <w:t>Минпромторгом России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B56EDA" w:rsidRDefault="00B56EDA" w:rsidP="000F1D51">
      <w:pPr>
        <w:autoSpaceDE w:val="0"/>
        <w:autoSpaceDN w:val="0"/>
        <w:adjustRightInd w:val="0"/>
        <w:spacing w:line="348" w:lineRule="auto"/>
        <w:ind w:firstLine="709"/>
        <w:jc w:val="both"/>
        <w:rPr>
          <w:sz w:val="26"/>
          <w:szCs w:val="26"/>
        </w:rPr>
      </w:pPr>
      <w:r>
        <w:rPr>
          <w:sz w:val="26"/>
          <w:szCs w:val="26"/>
        </w:rPr>
        <w:t>Согласно данным пояснительной записки к проекту акта целью его разработки является защита детей от возможного негативного воздействия детских игрушек, наносящих вред их здоровью.</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xml:space="preserve">Проектом </w:t>
      </w:r>
      <w:r>
        <w:rPr>
          <w:sz w:val="26"/>
          <w:szCs w:val="26"/>
        </w:rPr>
        <w:t>акта</w:t>
      </w:r>
      <w:r w:rsidRPr="00FC6644">
        <w:rPr>
          <w:sz w:val="26"/>
          <w:szCs w:val="26"/>
        </w:rPr>
        <w:t xml:space="preserve"> предлагается дополнить ТР ТС 008/2011 положениями о психолого-педагогической экспертизе «детских товаров</w:t>
      </w:r>
      <w:r>
        <w:rPr>
          <w:sz w:val="26"/>
          <w:szCs w:val="26"/>
        </w:rPr>
        <w:t xml:space="preserve"> игрушек</w:t>
      </w:r>
      <w:r w:rsidRPr="00FC6644">
        <w:rPr>
          <w:sz w:val="26"/>
          <w:szCs w:val="26"/>
        </w:rPr>
        <w:t xml:space="preserve">», по результатам которой игрушки будут «выпускаться в обращение на рынке» «при их соответствии критериям психолого-педагогической безопасности». Предполагается, что такая экспертиза будет проводиться в соответствии с национальным законодательством </w:t>
      </w:r>
      <w:r>
        <w:rPr>
          <w:sz w:val="26"/>
          <w:szCs w:val="26"/>
        </w:rPr>
        <w:t>«</w:t>
      </w:r>
      <w:r w:rsidRPr="00FC6644">
        <w:rPr>
          <w:sz w:val="26"/>
          <w:szCs w:val="26"/>
        </w:rPr>
        <w:t>сторон Таможенного союза</w:t>
      </w:r>
      <w:r>
        <w:rPr>
          <w:sz w:val="26"/>
          <w:szCs w:val="26"/>
        </w:rPr>
        <w:t>»</w:t>
      </w:r>
      <w:r w:rsidRPr="00FC6644">
        <w:rPr>
          <w:sz w:val="26"/>
          <w:szCs w:val="26"/>
        </w:rPr>
        <w:t>. Кроме того, предлагается дополнить статью 4 ТР ТС 008/2011 «Требования безопасности» следующим положением:</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«Отсутствие риска, влияющего на нравственно-эмоциональное благополучие детей, в части:</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провоцирование ребенка на агрессивные действия;</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вызывание у ребенка проявления жестокости по отношению к персонажам игры, в роли которых выступают играющие партнеры (сверстники, взрослые) или сама сюжетная игрушка;</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провоцирование игровых сюжетов, связанных с безнравственностью и насилием;</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вызывание нездорового интереса к сексуальным проблемам, выходящим за рамки возрастной компетенции ребенка;</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провоцирование ребенка на пренебрежительное или негативное отношение к расовым особенностям и физическим недостаткам других людей;</w:t>
      </w:r>
    </w:p>
    <w:p w:rsidR="00B56EDA" w:rsidRDefault="00B56EDA" w:rsidP="00FC6644">
      <w:pPr>
        <w:autoSpaceDE w:val="0"/>
        <w:autoSpaceDN w:val="0"/>
        <w:adjustRightInd w:val="0"/>
        <w:spacing w:line="348" w:lineRule="auto"/>
        <w:ind w:firstLine="709"/>
        <w:jc w:val="both"/>
        <w:rPr>
          <w:sz w:val="26"/>
          <w:szCs w:val="26"/>
        </w:rPr>
      </w:pPr>
      <w:r w:rsidRPr="00FC6644">
        <w:rPr>
          <w:sz w:val="26"/>
          <w:szCs w:val="26"/>
        </w:rPr>
        <w:t>- вызывание развития интереса к азартным играм взрослых, способствующего развитию игромании (патологическое увлечение азартными играми)».</w:t>
      </w:r>
    </w:p>
    <w:p w:rsidR="00B56EDA" w:rsidRDefault="00B56EDA" w:rsidP="00FC6644">
      <w:pPr>
        <w:autoSpaceDE w:val="0"/>
        <w:autoSpaceDN w:val="0"/>
        <w:adjustRightInd w:val="0"/>
        <w:spacing w:line="348" w:lineRule="auto"/>
        <w:ind w:firstLine="709"/>
        <w:jc w:val="both"/>
        <w:rPr>
          <w:sz w:val="26"/>
          <w:szCs w:val="26"/>
        </w:rPr>
      </w:pPr>
      <w:r>
        <w:rPr>
          <w:sz w:val="26"/>
          <w:szCs w:val="26"/>
        </w:rPr>
        <w:t xml:space="preserve">В ходе подготовки настоящего заключения в соответствии с пунктом 28 правил проведения оценки регулирующего воздействия с 17 по 21 апреля 2017 г. Минэкономразвития России провело публичные консультации по проекту акта, по результатам которых замечания и предложения были представлены ООО «Деловая Россия», Ассоциацией компаний Интернет-торговли, Некоммерческой организацией «Ассоциация предприятий индустрии детских товаров», ООО «Краснокамская фабрика деревянной игрушки» (справка прилагается). Обращаем внимание, что в отношении проектируемых норм в течение 2016 года, кроме указанных выше корреспондентов, в Минэкономразвития России поступали замечания от ООО «Март», ОАО «Рославльская игрушка», Группы предприятий «Десятое королевство», АО «Звезда», ООО «Смоленские игрушки», ПАО «Детский мир». </w:t>
      </w:r>
    </w:p>
    <w:p w:rsidR="00B56EDA" w:rsidRPr="00FC6644" w:rsidRDefault="00B56EDA" w:rsidP="00FC6644">
      <w:pPr>
        <w:autoSpaceDE w:val="0"/>
        <w:autoSpaceDN w:val="0"/>
        <w:adjustRightInd w:val="0"/>
        <w:spacing w:line="348" w:lineRule="auto"/>
        <w:ind w:firstLine="709"/>
        <w:jc w:val="both"/>
        <w:rPr>
          <w:sz w:val="26"/>
          <w:szCs w:val="26"/>
        </w:rPr>
      </w:pPr>
      <w:r>
        <w:rPr>
          <w:sz w:val="26"/>
          <w:szCs w:val="26"/>
        </w:rPr>
        <w:t xml:space="preserve">Обращаем внимание на следующие риски, связанные с реализацией проектируемых норм в представленной редакции. </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xml:space="preserve">1. </w:t>
      </w:r>
      <w:r>
        <w:rPr>
          <w:sz w:val="26"/>
          <w:szCs w:val="26"/>
        </w:rPr>
        <w:t>С</w:t>
      </w:r>
      <w:r w:rsidRPr="00FC6644">
        <w:rPr>
          <w:sz w:val="26"/>
          <w:szCs w:val="26"/>
        </w:rPr>
        <w:t xml:space="preserve">огласно пункту 2 статьи 52 Договора о Евразийском экономическом союзе, подписанного в г. Астане 29 мая 2014 г. (далее – Договор, Союз), технический регламент Таможенного союза является документом прямого действия, его нормы должны быть однозначно определены. </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Между тем проектируемые разработчиком нормы носят неопределенный характер как в части определения понятия «психолого-педагогическая экспертиза», так и</w:t>
      </w:r>
      <w:r>
        <w:rPr>
          <w:sz w:val="26"/>
          <w:szCs w:val="26"/>
        </w:rPr>
        <w:t xml:space="preserve"> в части</w:t>
      </w:r>
      <w:r w:rsidRPr="00FC6644">
        <w:rPr>
          <w:sz w:val="26"/>
          <w:szCs w:val="26"/>
        </w:rPr>
        <w:t xml:space="preserve"> перечня отрицательных последствий для «нравственно-эмоционального благополучия детей».</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2. Кроме того, обращаем внимание на несоответствие проектируемых норм следующим положениям Договора в части положений о техническом регулировании и оценке соответствия.</w:t>
      </w:r>
    </w:p>
    <w:p w:rsidR="00B56EDA" w:rsidRDefault="00B56EDA" w:rsidP="0014598D">
      <w:pPr>
        <w:autoSpaceDE w:val="0"/>
        <w:autoSpaceDN w:val="0"/>
        <w:adjustRightInd w:val="0"/>
        <w:spacing w:line="348" w:lineRule="auto"/>
        <w:ind w:firstLine="709"/>
        <w:jc w:val="both"/>
        <w:rPr>
          <w:sz w:val="26"/>
          <w:szCs w:val="26"/>
        </w:rPr>
      </w:pPr>
      <w:r w:rsidRPr="00FC6644">
        <w:rPr>
          <w:sz w:val="26"/>
          <w:szCs w:val="26"/>
        </w:rPr>
        <w:t>2.1. Согласно пункту 1 статьи 52 Договора технические регламенты Союза принимаются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w:t>
      </w:r>
      <w:r>
        <w:rPr>
          <w:sz w:val="26"/>
          <w:szCs w:val="26"/>
        </w:rPr>
        <w:t xml:space="preserve"> </w:t>
      </w:r>
      <w:r w:rsidRPr="0014598D">
        <w:rPr>
          <w:sz w:val="26"/>
          <w:szCs w:val="26"/>
        </w:rPr>
        <w:t>Принятие технических регламентов Союза в иных целях не допускается.</w:t>
      </w:r>
    </w:p>
    <w:p w:rsidR="00B56EDA" w:rsidRDefault="00B56EDA" w:rsidP="002B2BDD">
      <w:pPr>
        <w:autoSpaceDE w:val="0"/>
        <w:autoSpaceDN w:val="0"/>
        <w:adjustRightInd w:val="0"/>
        <w:spacing w:line="348" w:lineRule="auto"/>
        <w:ind w:firstLine="709"/>
        <w:jc w:val="both"/>
        <w:rPr>
          <w:sz w:val="26"/>
          <w:szCs w:val="26"/>
        </w:rPr>
      </w:pPr>
      <w:r>
        <w:rPr>
          <w:sz w:val="26"/>
          <w:szCs w:val="26"/>
        </w:rPr>
        <w:t>В пояснительной записке целью</w:t>
      </w:r>
      <w:r w:rsidRPr="00FC6644">
        <w:rPr>
          <w:sz w:val="26"/>
          <w:szCs w:val="26"/>
        </w:rPr>
        <w:t xml:space="preserve"> проектируемых норм </w:t>
      </w:r>
      <w:r>
        <w:rPr>
          <w:sz w:val="26"/>
          <w:szCs w:val="26"/>
        </w:rPr>
        <w:t>указывается</w:t>
      </w:r>
      <w:r w:rsidRPr="00FC6644">
        <w:rPr>
          <w:sz w:val="26"/>
          <w:szCs w:val="26"/>
        </w:rPr>
        <w:t xml:space="preserve"> «</w:t>
      </w:r>
      <w:r w:rsidRPr="002B2BDD">
        <w:rPr>
          <w:sz w:val="26"/>
          <w:szCs w:val="26"/>
        </w:rPr>
        <w:t>защита детей от возможного негативного воздействия детских игрушек, наносящих вред их здоровью</w:t>
      </w:r>
      <w:r w:rsidRPr="00FC6644">
        <w:rPr>
          <w:sz w:val="26"/>
          <w:szCs w:val="26"/>
        </w:rPr>
        <w:t>»</w:t>
      </w:r>
      <w:r>
        <w:rPr>
          <w:sz w:val="26"/>
          <w:szCs w:val="26"/>
        </w:rPr>
        <w:t xml:space="preserve">. Между тем разработчиком не представлено соответствующих обоснований и данных о </w:t>
      </w:r>
      <w:r w:rsidRPr="00C16DB7">
        <w:rPr>
          <w:sz w:val="26"/>
          <w:szCs w:val="26"/>
        </w:rPr>
        <w:t>негативно</w:t>
      </w:r>
      <w:r>
        <w:rPr>
          <w:sz w:val="26"/>
          <w:szCs w:val="26"/>
        </w:rPr>
        <w:t>м</w:t>
      </w:r>
      <w:r w:rsidRPr="00C16DB7">
        <w:rPr>
          <w:sz w:val="26"/>
          <w:szCs w:val="26"/>
        </w:rPr>
        <w:t xml:space="preserve"> воздействи</w:t>
      </w:r>
      <w:r>
        <w:rPr>
          <w:sz w:val="26"/>
          <w:szCs w:val="26"/>
        </w:rPr>
        <w:t>и</w:t>
      </w:r>
      <w:r w:rsidRPr="00C16DB7">
        <w:rPr>
          <w:sz w:val="26"/>
          <w:szCs w:val="26"/>
        </w:rPr>
        <w:t xml:space="preserve"> детских игрушек, </w:t>
      </w:r>
      <w:r>
        <w:rPr>
          <w:sz w:val="26"/>
          <w:szCs w:val="26"/>
        </w:rPr>
        <w:t xml:space="preserve">которые </w:t>
      </w:r>
      <w:r w:rsidRPr="00C16DB7">
        <w:rPr>
          <w:sz w:val="26"/>
          <w:szCs w:val="26"/>
        </w:rPr>
        <w:t>нанося</w:t>
      </w:r>
      <w:r>
        <w:rPr>
          <w:sz w:val="26"/>
          <w:szCs w:val="26"/>
        </w:rPr>
        <w:t>т</w:t>
      </w:r>
      <w:r w:rsidRPr="00C16DB7">
        <w:rPr>
          <w:sz w:val="26"/>
          <w:szCs w:val="26"/>
        </w:rPr>
        <w:t xml:space="preserve"> вред здоровью</w:t>
      </w:r>
      <w:r>
        <w:rPr>
          <w:sz w:val="26"/>
          <w:szCs w:val="26"/>
        </w:rPr>
        <w:t xml:space="preserve"> детей. </w:t>
      </w:r>
    </w:p>
    <w:p w:rsidR="00B56EDA" w:rsidRDefault="00B56EDA" w:rsidP="00BD051A">
      <w:pPr>
        <w:autoSpaceDE w:val="0"/>
        <w:autoSpaceDN w:val="0"/>
        <w:adjustRightInd w:val="0"/>
        <w:spacing w:line="348" w:lineRule="auto"/>
        <w:ind w:firstLine="709"/>
        <w:jc w:val="both"/>
        <w:rPr>
          <w:sz w:val="26"/>
          <w:szCs w:val="26"/>
        </w:rPr>
      </w:pPr>
      <w:r>
        <w:rPr>
          <w:sz w:val="26"/>
          <w:szCs w:val="26"/>
        </w:rPr>
        <w:t>Полагаем, что п</w:t>
      </w:r>
      <w:r w:rsidRPr="00FC6644">
        <w:rPr>
          <w:sz w:val="26"/>
          <w:szCs w:val="26"/>
        </w:rPr>
        <w:t xml:space="preserve">роектируемые положения в части психолого-педагогической экспертизы не относятся к вопросам защиты жизни и (или) здоровья человека, предупреждения действий, вводящих в заблуждение потребителей. </w:t>
      </w:r>
    </w:p>
    <w:p w:rsidR="00B56EDA" w:rsidRPr="00FC6644" w:rsidRDefault="00B56EDA" w:rsidP="002B2BDD">
      <w:pPr>
        <w:autoSpaceDE w:val="0"/>
        <w:autoSpaceDN w:val="0"/>
        <w:adjustRightInd w:val="0"/>
        <w:spacing w:line="348" w:lineRule="auto"/>
        <w:ind w:firstLine="709"/>
        <w:jc w:val="both"/>
        <w:rPr>
          <w:sz w:val="26"/>
          <w:szCs w:val="26"/>
        </w:rPr>
      </w:pPr>
      <w:r w:rsidRPr="00FC6644">
        <w:rPr>
          <w:sz w:val="26"/>
          <w:szCs w:val="26"/>
        </w:rPr>
        <w:t>Таким образом, предлагаемые положения не могут являться предметом технического регулирования.</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xml:space="preserve">2.2. Положениями проекта акта определяется, что психолого-педагогическая экспертиза проводится «в соответствии с национальным законодательством сторон Таможенного союза». </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xml:space="preserve">2.2.1. Между тем согласно пунктам 6, 7 и 13 статьи 51 Договора к общим принципам технического регулирования в рамках Союза в том числе относятся: единство правил и методов исследований (испытаний) и измерений при проведении процедур обязательной оценки соответствия; единство применения требований технических регламентов Союза независимо от видов и (или) особенностей сделок; единство правил и процедур проведения обязательной оценки соответствия. </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 xml:space="preserve">Требования в части оценки соответствия, установленные в техническом регламенте, едины в рамках Союза и не могут быть установлены «национальным законодательством сторон Таможенного союза». </w:t>
      </w:r>
    </w:p>
    <w:p w:rsidR="00B56EDA" w:rsidRPr="00FC6644" w:rsidRDefault="00B56EDA" w:rsidP="00FC6644">
      <w:pPr>
        <w:autoSpaceDE w:val="0"/>
        <w:autoSpaceDN w:val="0"/>
        <w:adjustRightInd w:val="0"/>
        <w:spacing w:line="348" w:lineRule="auto"/>
        <w:ind w:firstLine="709"/>
        <w:jc w:val="both"/>
        <w:rPr>
          <w:sz w:val="26"/>
          <w:szCs w:val="26"/>
        </w:rPr>
      </w:pPr>
      <w:r w:rsidRPr="00FC6644">
        <w:rPr>
          <w:sz w:val="26"/>
          <w:szCs w:val="26"/>
        </w:rPr>
        <w:t>2.2.2. Кроме того, согласно пункту 2 статьи 53 Договора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B56EDA" w:rsidRDefault="00B56EDA" w:rsidP="00FC6644">
      <w:pPr>
        <w:autoSpaceDE w:val="0"/>
        <w:autoSpaceDN w:val="0"/>
        <w:adjustRightInd w:val="0"/>
        <w:spacing w:line="348" w:lineRule="auto"/>
        <w:ind w:firstLine="709"/>
        <w:jc w:val="both"/>
        <w:rPr>
          <w:sz w:val="26"/>
          <w:szCs w:val="26"/>
        </w:rPr>
      </w:pPr>
      <w:r w:rsidRPr="00FC6644">
        <w:rPr>
          <w:sz w:val="26"/>
          <w:szCs w:val="26"/>
        </w:rPr>
        <w:t xml:space="preserve">2.3. Согласно пункту 3 статьи 52 Договора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w:t>
      </w:r>
      <w:r>
        <w:rPr>
          <w:sz w:val="26"/>
          <w:szCs w:val="26"/>
        </w:rPr>
        <w:t>–</w:t>
      </w:r>
      <w:r w:rsidRPr="00FC6644">
        <w:rPr>
          <w:sz w:val="26"/>
          <w:szCs w:val="26"/>
        </w:rPr>
        <w:t xml:space="preserve"> национальные (государственные) стандарты государств-членов. </w:t>
      </w:r>
    </w:p>
    <w:p w:rsidR="00B56EDA" w:rsidRDefault="00B56EDA" w:rsidP="00FC6644">
      <w:pPr>
        <w:autoSpaceDE w:val="0"/>
        <w:autoSpaceDN w:val="0"/>
        <w:adjustRightInd w:val="0"/>
        <w:spacing w:line="348" w:lineRule="auto"/>
        <w:ind w:firstLine="709"/>
        <w:jc w:val="both"/>
        <w:rPr>
          <w:sz w:val="26"/>
          <w:szCs w:val="26"/>
        </w:rPr>
      </w:pPr>
      <w:r w:rsidRPr="00FC6644">
        <w:rPr>
          <w:sz w:val="26"/>
          <w:szCs w:val="26"/>
        </w:rPr>
        <w:t>Остается неясным, какие стандарты могут быть применены при проведении «психолого-педагогической экспертизы».</w:t>
      </w:r>
      <w:r>
        <w:rPr>
          <w:sz w:val="26"/>
          <w:szCs w:val="26"/>
        </w:rPr>
        <w:t xml:space="preserve"> </w:t>
      </w:r>
    </w:p>
    <w:p w:rsidR="00B56EDA" w:rsidRPr="009A2C97" w:rsidRDefault="00B56EDA" w:rsidP="009A2C97">
      <w:pPr>
        <w:autoSpaceDE w:val="0"/>
        <w:autoSpaceDN w:val="0"/>
        <w:adjustRightInd w:val="0"/>
        <w:spacing w:line="348" w:lineRule="auto"/>
        <w:ind w:firstLine="709"/>
        <w:jc w:val="both"/>
        <w:rPr>
          <w:sz w:val="26"/>
          <w:szCs w:val="26"/>
        </w:rPr>
      </w:pPr>
      <w:r w:rsidRPr="009A2C97">
        <w:rPr>
          <w:sz w:val="26"/>
          <w:szCs w:val="26"/>
        </w:rPr>
        <w:t>Кроме того,  согласно пункту 25 Решения Совета Евразийской экономической комиссии от 20 июня 2012 г. № 48 «О Порядке разработки, принятия, изменения и отмены технических регламентов Евразийского экономического союза» (далее – Решение № 48) комплект документов, который готовится разработчиком проекта технического регламента (или изменений в технический регламент</w:t>
      </w:r>
      <w:r>
        <w:rPr>
          <w:sz w:val="26"/>
          <w:szCs w:val="26"/>
        </w:rPr>
        <w:t>,</w:t>
      </w:r>
      <w:r w:rsidRPr="009A2C97">
        <w:rPr>
          <w:sz w:val="26"/>
          <w:szCs w:val="26"/>
        </w:rPr>
        <w:t xml:space="preserve"> как указано в пункте 44 Решения № 48), должен включать проекты перечней стандартов; проект программы по разработке межгосударственных стандартов; перечень международных стандартов (правил, директив, рекомендаций и иных документов, принятых международными организациями по стандартизации), а в случае их отсутствия </w:t>
      </w:r>
      <w:r>
        <w:rPr>
          <w:sz w:val="26"/>
          <w:szCs w:val="26"/>
        </w:rPr>
        <w:t>–</w:t>
      </w:r>
      <w:r w:rsidRPr="009A2C97">
        <w:rPr>
          <w:sz w:val="26"/>
          <w:szCs w:val="26"/>
        </w:rPr>
        <w:t xml:space="preserve"> региональных документов (регламентов, директив, решений, стандартов, правил и иных документов), национальных (государственных) стандартов, национальных технических регламентов или их проектов, на основе которых разработан проект технического регламента. </w:t>
      </w:r>
    </w:p>
    <w:p w:rsidR="00B56EDA" w:rsidRPr="009A2C97" w:rsidRDefault="00B56EDA" w:rsidP="009A2C97">
      <w:pPr>
        <w:autoSpaceDE w:val="0"/>
        <w:autoSpaceDN w:val="0"/>
        <w:adjustRightInd w:val="0"/>
        <w:spacing w:line="348" w:lineRule="auto"/>
        <w:ind w:firstLine="709"/>
        <w:jc w:val="both"/>
        <w:rPr>
          <w:sz w:val="26"/>
          <w:szCs w:val="26"/>
        </w:rPr>
      </w:pPr>
      <w:r w:rsidRPr="009A2C97">
        <w:rPr>
          <w:sz w:val="26"/>
          <w:szCs w:val="26"/>
        </w:rPr>
        <w:t xml:space="preserve">Кроме того, в соответствии с пунктом 4 Приложения № 9 к Договору в целях выполнения требований технического регламента Союза Евразийская экономическая комиссия (далее – Комиссия) утверждает перечень международных и региональных (межгосударственных) стандартов, а в случае их отсутствия </w:t>
      </w:r>
      <w:r>
        <w:rPr>
          <w:sz w:val="26"/>
          <w:szCs w:val="26"/>
        </w:rPr>
        <w:t>–</w:t>
      </w:r>
      <w:r w:rsidRPr="009A2C97">
        <w:rPr>
          <w:sz w:val="26"/>
          <w:szCs w:val="26"/>
        </w:rPr>
        <w:t xml:space="preserve">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B56EDA" w:rsidRPr="009A2C97" w:rsidRDefault="00B56EDA" w:rsidP="009A2C97">
      <w:pPr>
        <w:autoSpaceDE w:val="0"/>
        <w:autoSpaceDN w:val="0"/>
        <w:adjustRightInd w:val="0"/>
        <w:spacing w:line="348" w:lineRule="auto"/>
        <w:ind w:firstLine="709"/>
        <w:jc w:val="both"/>
        <w:rPr>
          <w:sz w:val="26"/>
          <w:szCs w:val="26"/>
        </w:rPr>
      </w:pPr>
      <w:r w:rsidRPr="009A2C97">
        <w:rPr>
          <w:sz w:val="26"/>
          <w:szCs w:val="26"/>
        </w:rPr>
        <w:t xml:space="preserve">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w:t>
      </w:r>
      <w:r>
        <w:rPr>
          <w:sz w:val="26"/>
          <w:szCs w:val="26"/>
        </w:rPr>
        <w:t>–</w:t>
      </w:r>
      <w:r w:rsidRPr="009A2C97">
        <w:rPr>
          <w:sz w:val="26"/>
          <w:szCs w:val="26"/>
        </w:rPr>
        <w:t xml:space="preserve">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B56EDA" w:rsidRDefault="00B56EDA" w:rsidP="009A2C97">
      <w:pPr>
        <w:autoSpaceDE w:val="0"/>
        <w:autoSpaceDN w:val="0"/>
        <w:adjustRightInd w:val="0"/>
        <w:spacing w:line="348" w:lineRule="auto"/>
        <w:ind w:firstLine="709"/>
        <w:jc w:val="both"/>
        <w:rPr>
          <w:sz w:val="26"/>
          <w:szCs w:val="26"/>
        </w:rPr>
      </w:pPr>
      <w:r w:rsidRPr="009A2C97">
        <w:rPr>
          <w:sz w:val="26"/>
          <w:szCs w:val="26"/>
        </w:rPr>
        <w:t>Обращаем внимание, что ни материалы, размещенные на официальном сайте в сети «Интернет» Евразийской экономической комиссии, где проект акта размещался для публичного обсуждения, ни материалы, размещенные Минпромторгом России на официальном сайте в рамках процедуры оценки регулирующего воздействия и направленные в Минэкономразвития России для получения соответствующего заключения, не содержат таких перечней стандартов, проекта программы по их разработке.</w:t>
      </w:r>
    </w:p>
    <w:p w:rsidR="00B56EDA" w:rsidRPr="00344B37" w:rsidRDefault="00B56EDA" w:rsidP="009A2C97">
      <w:pPr>
        <w:autoSpaceDE w:val="0"/>
        <w:autoSpaceDN w:val="0"/>
        <w:adjustRightInd w:val="0"/>
        <w:spacing w:line="348" w:lineRule="auto"/>
        <w:ind w:firstLine="709"/>
        <w:jc w:val="both"/>
        <w:rPr>
          <w:sz w:val="26"/>
          <w:szCs w:val="26"/>
        </w:rPr>
      </w:pPr>
      <w:r>
        <w:rPr>
          <w:sz w:val="26"/>
          <w:szCs w:val="26"/>
        </w:rPr>
        <w:t xml:space="preserve">2.4. Остается неясным, каким образом проектируемое регулирование в части введения дополнительной оценки соответствия продукции в виде психолого-педагогической экспертизы соотносится с типовыми схемами </w:t>
      </w:r>
      <w:r w:rsidRPr="00344B37">
        <w:rPr>
          <w:sz w:val="26"/>
          <w:szCs w:val="26"/>
        </w:rPr>
        <w:t>оценки (подтверждения) соответствия требованиям технических регламентов Таможенного союза</w:t>
      </w:r>
      <w:r>
        <w:rPr>
          <w:sz w:val="26"/>
          <w:szCs w:val="26"/>
        </w:rPr>
        <w:t xml:space="preserve">, утвержденными </w:t>
      </w:r>
      <w:r w:rsidRPr="00344B37">
        <w:rPr>
          <w:sz w:val="26"/>
          <w:szCs w:val="26"/>
        </w:rPr>
        <w:t>Решение</w:t>
      </w:r>
      <w:r>
        <w:rPr>
          <w:sz w:val="26"/>
          <w:szCs w:val="26"/>
        </w:rPr>
        <w:t>м</w:t>
      </w:r>
      <w:r w:rsidRPr="00344B37">
        <w:rPr>
          <w:sz w:val="26"/>
          <w:szCs w:val="26"/>
        </w:rPr>
        <w:t xml:space="preserve"> Комиссии Таможенного союза от </w:t>
      </w:r>
      <w:r>
        <w:rPr>
          <w:sz w:val="26"/>
          <w:szCs w:val="26"/>
        </w:rPr>
        <w:t xml:space="preserve">7 апреля </w:t>
      </w:r>
      <w:r w:rsidRPr="00344B37">
        <w:rPr>
          <w:sz w:val="26"/>
          <w:szCs w:val="26"/>
        </w:rPr>
        <w:t>2011</w:t>
      </w:r>
      <w:r>
        <w:rPr>
          <w:sz w:val="26"/>
          <w:szCs w:val="26"/>
        </w:rPr>
        <w:t xml:space="preserve"> г.</w:t>
      </w:r>
      <w:r w:rsidRPr="00344B37">
        <w:rPr>
          <w:sz w:val="26"/>
          <w:szCs w:val="26"/>
        </w:rPr>
        <w:t xml:space="preserve"> </w:t>
      </w:r>
      <w:r>
        <w:rPr>
          <w:sz w:val="26"/>
          <w:szCs w:val="26"/>
        </w:rPr>
        <w:t>№</w:t>
      </w:r>
      <w:r w:rsidRPr="00344B37">
        <w:rPr>
          <w:sz w:val="26"/>
          <w:szCs w:val="26"/>
        </w:rPr>
        <w:t xml:space="preserve"> 621</w:t>
      </w:r>
      <w:r>
        <w:rPr>
          <w:sz w:val="26"/>
          <w:szCs w:val="26"/>
        </w:rPr>
        <w:t>. Между тем согласно пункту 5 Приложения № 9 к Договору ф</w:t>
      </w:r>
      <w:r w:rsidRPr="00344B37">
        <w:rPr>
          <w:sz w:val="26"/>
          <w:szCs w:val="26"/>
        </w:rPr>
        <w:t>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B56EDA" w:rsidRDefault="00B56EDA" w:rsidP="00B90F33">
      <w:pPr>
        <w:autoSpaceDE w:val="0"/>
        <w:autoSpaceDN w:val="0"/>
        <w:adjustRightInd w:val="0"/>
        <w:spacing w:line="348" w:lineRule="auto"/>
        <w:ind w:firstLine="709"/>
        <w:jc w:val="both"/>
        <w:rPr>
          <w:sz w:val="26"/>
          <w:szCs w:val="26"/>
        </w:rPr>
      </w:pPr>
      <w:r>
        <w:rPr>
          <w:sz w:val="26"/>
          <w:szCs w:val="26"/>
        </w:rPr>
        <w:t xml:space="preserve">3. Согласно </w:t>
      </w:r>
      <w:r w:rsidRPr="00B90F33">
        <w:rPr>
          <w:sz w:val="26"/>
          <w:szCs w:val="26"/>
        </w:rPr>
        <w:t xml:space="preserve">пункту </w:t>
      </w:r>
      <w:r>
        <w:rPr>
          <w:sz w:val="26"/>
          <w:szCs w:val="26"/>
        </w:rPr>
        <w:t>43</w:t>
      </w:r>
      <w:r w:rsidRPr="00B90F33">
        <w:rPr>
          <w:sz w:val="26"/>
          <w:szCs w:val="26"/>
        </w:rPr>
        <w:t xml:space="preserve"> Решения </w:t>
      </w:r>
      <w:r>
        <w:rPr>
          <w:sz w:val="26"/>
          <w:szCs w:val="26"/>
        </w:rPr>
        <w:t>№ 48 в пояснительной записке к проекту и</w:t>
      </w:r>
      <w:r w:rsidRPr="00B90F33">
        <w:rPr>
          <w:sz w:val="26"/>
          <w:szCs w:val="26"/>
        </w:rPr>
        <w:t>зменений в технический регламент указыва</w:t>
      </w:r>
      <w:r>
        <w:rPr>
          <w:sz w:val="26"/>
          <w:szCs w:val="26"/>
        </w:rPr>
        <w:t>е</w:t>
      </w:r>
      <w:r w:rsidRPr="00B90F33">
        <w:rPr>
          <w:sz w:val="26"/>
          <w:szCs w:val="26"/>
        </w:rPr>
        <w:t>тся</w:t>
      </w:r>
      <w:r>
        <w:rPr>
          <w:sz w:val="26"/>
          <w:szCs w:val="26"/>
        </w:rPr>
        <w:t xml:space="preserve"> в том числе «</w:t>
      </w:r>
      <w:r w:rsidRPr="00B90F33">
        <w:rPr>
          <w:sz w:val="26"/>
          <w:szCs w:val="26"/>
        </w:rPr>
        <w:t>правовое основание для принятия изменений в технический регламент</w:t>
      </w:r>
      <w:r>
        <w:rPr>
          <w:sz w:val="26"/>
          <w:szCs w:val="26"/>
        </w:rPr>
        <w:t>». Разработчиком такой информации не представлено.</w:t>
      </w:r>
    </w:p>
    <w:p w:rsidR="00B56EDA" w:rsidRDefault="00B56EDA" w:rsidP="00B90F33">
      <w:pPr>
        <w:autoSpaceDE w:val="0"/>
        <w:autoSpaceDN w:val="0"/>
        <w:adjustRightInd w:val="0"/>
        <w:spacing w:line="348" w:lineRule="auto"/>
        <w:ind w:firstLine="709"/>
        <w:jc w:val="both"/>
        <w:rPr>
          <w:sz w:val="26"/>
          <w:szCs w:val="26"/>
        </w:rPr>
      </w:pPr>
      <w:r>
        <w:rPr>
          <w:sz w:val="26"/>
          <w:szCs w:val="26"/>
        </w:rPr>
        <w:t xml:space="preserve">Учитывая изложенное в пунктах 1 и 2 настоящего заключения, полагаем, что правового основания для принятия проектируемых изменений в ТР ТС 008/2011, не усматривается. </w:t>
      </w:r>
    </w:p>
    <w:p w:rsidR="00B56EDA" w:rsidRDefault="00B56EDA" w:rsidP="00B90F33">
      <w:pPr>
        <w:autoSpaceDE w:val="0"/>
        <w:autoSpaceDN w:val="0"/>
        <w:adjustRightInd w:val="0"/>
        <w:spacing w:line="348" w:lineRule="auto"/>
        <w:ind w:firstLine="709"/>
        <w:jc w:val="both"/>
        <w:rPr>
          <w:sz w:val="26"/>
          <w:szCs w:val="26"/>
        </w:rPr>
      </w:pPr>
      <w:r>
        <w:rPr>
          <w:sz w:val="26"/>
          <w:szCs w:val="26"/>
        </w:rPr>
        <w:t xml:space="preserve">4. Согласно пункту 5 Приложения № 9 к Договору </w:t>
      </w:r>
      <w:r w:rsidRPr="00BD051A">
        <w:rPr>
          <w:sz w:val="26"/>
          <w:szCs w:val="26"/>
        </w:rPr>
        <w:t xml:space="preserve">работы по оценке соответствия установленным техническим регламентом Союза требованиям </w:t>
      </w:r>
      <w:r>
        <w:rPr>
          <w:sz w:val="26"/>
          <w:szCs w:val="26"/>
        </w:rPr>
        <w:t>осуществляют а</w:t>
      </w:r>
      <w:r w:rsidRPr="00BD051A">
        <w:rPr>
          <w:sz w:val="26"/>
          <w:szCs w:val="26"/>
        </w:rPr>
        <w:t>ккредитованные органы по оценке соответствия (в том числе органы по сертификации, исп</w:t>
      </w:r>
      <w:r>
        <w:rPr>
          <w:sz w:val="26"/>
          <w:szCs w:val="26"/>
        </w:rPr>
        <w:t xml:space="preserve">ытательные лаборатории (центры). В настоящее время аккредитованных на проведение психолого-педагогической экспертизы органов нет, требования к ним не определены, также как и не установлены требования к специалистам (экспертам), осуществляющим указанную экспертизу. </w:t>
      </w:r>
    </w:p>
    <w:p w:rsidR="00B56EDA" w:rsidRDefault="00B56EDA" w:rsidP="00B90F33">
      <w:pPr>
        <w:autoSpaceDE w:val="0"/>
        <w:autoSpaceDN w:val="0"/>
        <w:adjustRightInd w:val="0"/>
        <w:spacing w:line="348" w:lineRule="auto"/>
        <w:ind w:firstLine="709"/>
        <w:jc w:val="both"/>
        <w:rPr>
          <w:sz w:val="26"/>
          <w:szCs w:val="26"/>
        </w:rPr>
      </w:pPr>
      <w:r>
        <w:rPr>
          <w:sz w:val="26"/>
          <w:szCs w:val="26"/>
        </w:rPr>
        <w:t xml:space="preserve">Вместе с тем согласно данным пояснительной записки предполагаемый срок введения в действие норм, предусмотренных проектом акта, – по истечении 6 месяцев со дня принятия соответствующего решения Совета Комиссии. </w:t>
      </w:r>
    </w:p>
    <w:p w:rsidR="00B56EDA" w:rsidRDefault="00B56EDA" w:rsidP="00B90F33">
      <w:pPr>
        <w:autoSpaceDE w:val="0"/>
        <w:autoSpaceDN w:val="0"/>
        <w:adjustRightInd w:val="0"/>
        <w:spacing w:line="348" w:lineRule="auto"/>
        <w:ind w:firstLine="709"/>
        <w:jc w:val="both"/>
        <w:rPr>
          <w:sz w:val="26"/>
          <w:szCs w:val="26"/>
        </w:rPr>
      </w:pPr>
      <w:r>
        <w:rPr>
          <w:sz w:val="26"/>
          <w:szCs w:val="26"/>
        </w:rPr>
        <w:t>В отсутствие аккредитованных органов и специалистов, стандартов, методов исследований (испытаний) по проведению оценки соответствия и других необходимых составляющих представляется несвоевременным рассмотрение вопроса о принятии проекта акта.</w:t>
      </w:r>
    </w:p>
    <w:p w:rsidR="00B56EDA" w:rsidRDefault="00B56EDA" w:rsidP="00B90F33">
      <w:pPr>
        <w:autoSpaceDE w:val="0"/>
        <w:autoSpaceDN w:val="0"/>
        <w:adjustRightInd w:val="0"/>
        <w:spacing w:line="348" w:lineRule="auto"/>
        <w:ind w:firstLine="709"/>
        <w:jc w:val="both"/>
        <w:rPr>
          <w:sz w:val="26"/>
          <w:szCs w:val="26"/>
        </w:rPr>
      </w:pPr>
      <w:r>
        <w:rPr>
          <w:sz w:val="26"/>
          <w:szCs w:val="26"/>
        </w:rPr>
        <w:t>5. Одновременно обращаем внимание на проблемы, возникающие в связи с отсутствием достаточной информации в пояснительной записке к проекту акта, требования к которой определены пунктом 43 Решения № 48, необходимой, в частности, для оценки регулирующего воздействия.</w:t>
      </w:r>
    </w:p>
    <w:p w:rsidR="00B56EDA" w:rsidRDefault="00B56EDA" w:rsidP="00B90F33">
      <w:pPr>
        <w:autoSpaceDE w:val="0"/>
        <w:autoSpaceDN w:val="0"/>
        <w:adjustRightInd w:val="0"/>
        <w:spacing w:line="348" w:lineRule="auto"/>
        <w:ind w:firstLine="709"/>
        <w:jc w:val="both"/>
        <w:rPr>
          <w:sz w:val="26"/>
          <w:szCs w:val="26"/>
        </w:rPr>
      </w:pPr>
      <w:r>
        <w:rPr>
          <w:sz w:val="26"/>
          <w:szCs w:val="26"/>
        </w:rPr>
        <w:t xml:space="preserve">5.1. Пояснительная записка к проекту </w:t>
      </w:r>
      <w:r w:rsidRPr="00593308">
        <w:rPr>
          <w:sz w:val="26"/>
          <w:szCs w:val="26"/>
        </w:rPr>
        <w:t>изменений в технический регламент</w:t>
      </w:r>
      <w:r>
        <w:rPr>
          <w:sz w:val="26"/>
          <w:szCs w:val="26"/>
        </w:rPr>
        <w:t xml:space="preserve"> должна  в том числе содержать следующую информацию:</w:t>
      </w:r>
    </w:p>
    <w:p w:rsidR="00B56EDA" w:rsidRPr="00593308" w:rsidRDefault="00B56EDA" w:rsidP="00593308">
      <w:pPr>
        <w:autoSpaceDE w:val="0"/>
        <w:autoSpaceDN w:val="0"/>
        <w:adjustRightInd w:val="0"/>
        <w:spacing w:line="348" w:lineRule="auto"/>
        <w:ind w:firstLine="709"/>
        <w:jc w:val="both"/>
        <w:rPr>
          <w:sz w:val="26"/>
          <w:szCs w:val="26"/>
        </w:rPr>
      </w:pPr>
      <w:r w:rsidRPr="00593308">
        <w:rPr>
          <w:sz w:val="26"/>
          <w:szCs w:val="26"/>
        </w:rPr>
        <w:t>анализ международного опыта и опыта государств-членов в области установления обязательных требований, в отношении которых подготовлен проект изменений в технический регламент (не указывается в случае, если изменения в технический регламент носят редакционный характер и не меняют требований технического регламента);</w:t>
      </w:r>
    </w:p>
    <w:p w:rsidR="00B56EDA" w:rsidRDefault="00B56EDA" w:rsidP="00593308">
      <w:pPr>
        <w:autoSpaceDE w:val="0"/>
        <w:autoSpaceDN w:val="0"/>
        <w:adjustRightInd w:val="0"/>
        <w:spacing w:line="348" w:lineRule="auto"/>
        <w:ind w:firstLine="709"/>
        <w:jc w:val="both"/>
        <w:rPr>
          <w:sz w:val="26"/>
          <w:szCs w:val="26"/>
        </w:rPr>
      </w:pPr>
      <w:r w:rsidRPr="00593308">
        <w:rPr>
          <w:sz w:val="26"/>
          <w:szCs w:val="26"/>
        </w:rPr>
        <w:t>описание устанавливаемых в проекте изменений в технический регламент обязательных требований, отличающихся от положений международных, региональных (межгосударственных) стандартов или обязательных требований, действующих на территориях государств-членов, с кратким обоснованием их введения (не указывается в случае, если изменения в технический регламент носят редакционный характер и не меняют требований технического регламента)</w:t>
      </w:r>
      <w:r>
        <w:rPr>
          <w:sz w:val="26"/>
          <w:szCs w:val="26"/>
        </w:rPr>
        <w:t>.</w:t>
      </w:r>
    </w:p>
    <w:p w:rsidR="00B56EDA" w:rsidRDefault="00B56EDA" w:rsidP="00593308">
      <w:pPr>
        <w:autoSpaceDE w:val="0"/>
        <w:autoSpaceDN w:val="0"/>
        <w:adjustRightInd w:val="0"/>
        <w:spacing w:line="348" w:lineRule="auto"/>
        <w:ind w:firstLine="709"/>
        <w:jc w:val="both"/>
        <w:rPr>
          <w:sz w:val="26"/>
          <w:szCs w:val="26"/>
        </w:rPr>
      </w:pPr>
      <w:r>
        <w:rPr>
          <w:sz w:val="26"/>
          <w:szCs w:val="26"/>
        </w:rPr>
        <w:t xml:space="preserve">Разработчиком данных об анализе международного опыта не представлено. </w:t>
      </w:r>
    </w:p>
    <w:p w:rsidR="00B56EDA" w:rsidRDefault="00B56EDA" w:rsidP="00593308">
      <w:pPr>
        <w:autoSpaceDE w:val="0"/>
        <w:autoSpaceDN w:val="0"/>
        <w:adjustRightInd w:val="0"/>
        <w:spacing w:line="348" w:lineRule="auto"/>
        <w:ind w:firstLine="709"/>
        <w:jc w:val="both"/>
        <w:rPr>
          <w:sz w:val="26"/>
          <w:szCs w:val="26"/>
        </w:rPr>
      </w:pPr>
      <w:r>
        <w:rPr>
          <w:sz w:val="26"/>
          <w:szCs w:val="26"/>
        </w:rPr>
        <w:t xml:space="preserve">В части отличающихся от международных стандартов требований разработчик указывает на отсутствие таких требований в проекте акта, обращая внимание на Правила проведения психолого-педагогической экспертизы игрушек и критериев оценки требований психолого-педагогической безопасности игрушек, утвержденные приказом Министра образования и науки Республики Казахстан от 10 июня 2008 г. № 337 </w:t>
      </w:r>
      <w:r>
        <w:rPr>
          <w:sz w:val="26"/>
          <w:szCs w:val="26"/>
        </w:rPr>
        <w:br/>
        <w:t>(далее – приказ № 337).</w:t>
      </w:r>
    </w:p>
    <w:p w:rsidR="00B56EDA" w:rsidRDefault="00B56EDA" w:rsidP="006A3B9B">
      <w:pPr>
        <w:autoSpaceDE w:val="0"/>
        <w:autoSpaceDN w:val="0"/>
        <w:adjustRightInd w:val="0"/>
        <w:spacing w:line="348" w:lineRule="auto"/>
        <w:ind w:firstLine="709"/>
        <w:jc w:val="both"/>
        <w:rPr>
          <w:sz w:val="26"/>
          <w:szCs w:val="26"/>
        </w:rPr>
      </w:pPr>
      <w:r>
        <w:rPr>
          <w:sz w:val="26"/>
          <w:szCs w:val="26"/>
        </w:rPr>
        <w:t xml:space="preserve">Между тем согласно полученным данным психолого-педагогическая экспертиза в отношении игрушек в Республике Казахстан до настоящего времени не проводится, не сформирован Экспертный совет при Департаменте среднего образования Министерства образования и науки Республики Казахстан (далее – Экспертный совет), на который возлагается обязанность по проведению такой экспертизы и выдаче соответствующих заключений. В соответствии с полученной информацией отсутствие соответствующего правоприменения связано в том числе с трудностями подбора «квалифицированных специалистов: педагогов, психологов, художников, дизайнеров» – экспертов Экспертного совета. Законодательством Республики Казахстан не определены требования к таким экспертам. </w:t>
      </w:r>
      <w:r>
        <w:rPr>
          <w:sz w:val="26"/>
          <w:szCs w:val="26"/>
        </w:rPr>
        <w:tab/>
        <w:t xml:space="preserve">В представленных материалах разработчиком не представлены данные о реализации норм приказа № 337 в Республике Казахстан, их преимуществах и достигнутых результатах.  </w:t>
      </w:r>
    </w:p>
    <w:p w:rsidR="00B56EDA" w:rsidRDefault="00B56EDA" w:rsidP="008767EA">
      <w:pPr>
        <w:autoSpaceDE w:val="0"/>
        <w:autoSpaceDN w:val="0"/>
        <w:adjustRightInd w:val="0"/>
        <w:spacing w:line="348" w:lineRule="auto"/>
        <w:ind w:firstLine="709"/>
        <w:jc w:val="both"/>
        <w:rPr>
          <w:sz w:val="26"/>
          <w:szCs w:val="26"/>
        </w:rPr>
      </w:pPr>
      <w:r>
        <w:rPr>
          <w:sz w:val="26"/>
          <w:szCs w:val="26"/>
        </w:rPr>
        <w:t xml:space="preserve">Представляется несвоевременным имплементировать недостаточно отработанную норму законодательства одного из государств-членов в право Союза.  </w:t>
      </w:r>
    </w:p>
    <w:p w:rsidR="00B56EDA" w:rsidRDefault="00B56EDA" w:rsidP="008767EA">
      <w:pPr>
        <w:autoSpaceDE w:val="0"/>
        <w:autoSpaceDN w:val="0"/>
        <w:adjustRightInd w:val="0"/>
        <w:spacing w:line="348" w:lineRule="auto"/>
        <w:ind w:firstLine="709"/>
        <w:jc w:val="both"/>
        <w:rPr>
          <w:sz w:val="26"/>
          <w:szCs w:val="26"/>
        </w:rPr>
      </w:pPr>
      <w:r>
        <w:rPr>
          <w:sz w:val="26"/>
          <w:szCs w:val="26"/>
        </w:rPr>
        <w:t xml:space="preserve">5.1.1. Кроме того, приказ № 337 содержит критерии оценки требований психолого-педагогической безопасности игрушек, которые носят оценочный характер. Так, экспертом должна быть оценена «потенциальная возможность стать предметом соответствующего действия (деятельности) ребенка», «соответствие интересам и потребностям ребенка (увлекательность и привлекательность)», «возможность полуфункционального использования для развития ребенка», «возможность применения в совместной деятельности», «дидактическая ценность», «социальная и педагогическая ценность», «эстетичность внешнего вида игрушки», «оригинальность», «адаптивность» и пр. Оценкой игрушки выступают баллы в зависимости от представления эксперта о том, что игрушка «полностью не соответствует критерию», «частично соответствует критерию», «полностью соответствует критерию». В части оценки «функции безопасности ребенка» приказом </w:t>
      </w:r>
      <w:r>
        <w:rPr>
          <w:sz w:val="26"/>
          <w:szCs w:val="26"/>
        </w:rPr>
        <w:br/>
        <w:t>№ 337 предлагаются такие критерии, как «провоцирование ребенка на агрессивные действия», «вызывание у ребенка проявление жестокости по отношению к персонажам игры, в роли которых выступают играющие партнеры (…) или сама сюжетная игрушка», «провоцирование игровых сюжетов, связанных с безнравственностью и насилием», «вызывание нездорового интереса к сексуальным проблемам, выходящим за рамки возрастной компетенции ребенка», «провоцирование ребенка на пренебрежительное или негативное отношение к расовым особенностям и физическим недостаткам других людей», «вызывание развитие интереса к азартным играм». Оценкой игрушки в этой части выступают баллы в зависимости от наличия такого критерия или его отсутствия по мнению эксперта.</w:t>
      </w:r>
    </w:p>
    <w:p w:rsidR="00B56EDA" w:rsidRDefault="00B56EDA" w:rsidP="008767EA">
      <w:pPr>
        <w:autoSpaceDE w:val="0"/>
        <w:autoSpaceDN w:val="0"/>
        <w:adjustRightInd w:val="0"/>
        <w:spacing w:line="348" w:lineRule="auto"/>
        <w:ind w:firstLine="709"/>
        <w:jc w:val="both"/>
        <w:rPr>
          <w:sz w:val="26"/>
          <w:szCs w:val="26"/>
        </w:rPr>
      </w:pPr>
      <w:r>
        <w:rPr>
          <w:sz w:val="26"/>
          <w:szCs w:val="26"/>
        </w:rPr>
        <w:t xml:space="preserve">Обращаем внимание, что в техническом регулировании при оценке соответствия продукции используются </w:t>
      </w:r>
      <w:r w:rsidRPr="00DA78DC">
        <w:rPr>
          <w:sz w:val="26"/>
          <w:szCs w:val="26"/>
        </w:rPr>
        <w:t xml:space="preserve">количественные показатели. </w:t>
      </w:r>
      <w:r>
        <w:rPr>
          <w:sz w:val="26"/>
          <w:szCs w:val="26"/>
        </w:rPr>
        <w:t xml:space="preserve">Применение </w:t>
      </w:r>
      <w:r w:rsidRPr="00DA78DC">
        <w:rPr>
          <w:sz w:val="26"/>
          <w:szCs w:val="26"/>
        </w:rPr>
        <w:t>механизм</w:t>
      </w:r>
      <w:r>
        <w:rPr>
          <w:sz w:val="26"/>
          <w:szCs w:val="26"/>
        </w:rPr>
        <w:t>а</w:t>
      </w:r>
      <w:r w:rsidRPr="00DA78DC">
        <w:rPr>
          <w:sz w:val="26"/>
          <w:szCs w:val="26"/>
        </w:rPr>
        <w:t>, основанн</w:t>
      </w:r>
      <w:r>
        <w:rPr>
          <w:sz w:val="26"/>
          <w:szCs w:val="26"/>
        </w:rPr>
        <w:t xml:space="preserve">ого </w:t>
      </w:r>
      <w:r w:rsidRPr="00DA78DC">
        <w:rPr>
          <w:sz w:val="26"/>
          <w:szCs w:val="26"/>
        </w:rPr>
        <w:t xml:space="preserve">на психологической оценке, </w:t>
      </w:r>
      <w:r>
        <w:rPr>
          <w:sz w:val="26"/>
          <w:szCs w:val="26"/>
        </w:rPr>
        <w:t>представляется некорректным.</w:t>
      </w:r>
    </w:p>
    <w:p w:rsidR="00B56EDA" w:rsidRDefault="00B56EDA" w:rsidP="00AD6F80">
      <w:pPr>
        <w:autoSpaceDE w:val="0"/>
        <w:autoSpaceDN w:val="0"/>
        <w:adjustRightInd w:val="0"/>
        <w:spacing w:line="348" w:lineRule="auto"/>
        <w:ind w:firstLine="709"/>
        <w:jc w:val="both"/>
        <w:rPr>
          <w:sz w:val="26"/>
          <w:szCs w:val="26"/>
        </w:rPr>
      </w:pPr>
      <w:r>
        <w:rPr>
          <w:sz w:val="26"/>
          <w:szCs w:val="26"/>
        </w:rPr>
        <w:t xml:space="preserve">5.2. Не представлено также </w:t>
      </w:r>
      <w:r w:rsidRPr="00AD6F80">
        <w:rPr>
          <w:sz w:val="26"/>
          <w:szCs w:val="26"/>
        </w:rPr>
        <w:t>финансово-экономическое обоснование проекта изменений в технический регламент, содержащее описание экономического эффекта от реализации изменений в технический регламент, оценку влияния реализации изменений в технический регламент на расходы бюджета Союза</w:t>
      </w:r>
      <w:r>
        <w:rPr>
          <w:sz w:val="26"/>
          <w:szCs w:val="26"/>
        </w:rPr>
        <w:t>. Между тем проектируемое регулирование подразумевает, как минимум, разработку соответствующих критериев (стандартов), требований к органам по аккредитации (экспертам), методов исследований (испытаний), формы заключения и др. Представляется, что такая работа не может быть проведена без привлечения бюджетных средств Союза.</w:t>
      </w:r>
    </w:p>
    <w:p w:rsidR="00B56EDA" w:rsidRDefault="00B56EDA" w:rsidP="00AD6F80">
      <w:pPr>
        <w:autoSpaceDE w:val="0"/>
        <w:autoSpaceDN w:val="0"/>
        <w:adjustRightInd w:val="0"/>
        <w:spacing w:line="348" w:lineRule="auto"/>
        <w:ind w:firstLine="709"/>
        <w:jc w:val="both"/>
        <w:rPr>
          <w:sz w:val="26"/>
          <w:szCs w:val="26"/>
        </w:rPr>
      </w:pPr>
      <w:r>
        <w:rPr>
          <w:sz w:val="26"/>
          <w:szCs w:val="26"/>
        </w:rPr>
        <w:t xml:space="preserve">5.3. </w:t>
      </w:r>
      <w:r w:rsidRPr="00AD6F80">
        <w:rPr>
          <w:sz w:val="26"/>
          <w:szCs w:val="26"/>
        </w:rPr>
        <w:t xml:space="preserve">Кроме того, пояснительная записка к проекту изменений в технический регламент не содержит информации о соответствии проекта изменений в технический регламент требованиям в области обеспечения единства измерений, обязательной для указания. Более того, в подпункте «е» пункта 43 </w:t>
      </w:r>
      <w:r>
        <w:rPr>
          <w:sz w:val="26"/>
          <w:szCs w:val="26"/>
        </w:rPr>
        <w:t xml:space="preserve">Решения № 48 </w:t>
      </w:r>
      <w:r w:rsidRPr="00AD6F80">
        <w:rPr>
          <w:sz w:val="26"/>
          <w:szCs w:val="26"/>
        </w:rPr>
        <w:t>определено, что указанная информация «не указывается в случае, если изменения в технический регламент носят редакционный характер и не меняют требований технического регламента».</w:t>
      </w:r>
    </w:p>
    <w:p w:rsidR="00B56EDA" w:rsidRDefault="00B56EDA" w:rsidP="00180EBB">
      <w:pPr>
        <w:autoSpaceDE w:val="0"/>
        <w:autoSpaceDN w:val="0"/>
        <w:adjustRightInd w:val="0"/>
        <w:spacing w:line="348" w:lineRule="auto"/>
        <w:ind w:firstLine="709"/>
        <w:jc w:val="both"/>
        <w:rPr>
          <w:sz w:val="26"/>
          <w:szCs w:val="26"/>
        </w:rPr>
      </w:pPr>
      <w:r>
        <w:rPr>
          <w:sz w:val="26"/>
          <w:szCs w:val="26"/>
        </w:rPr>
        <w:t xml:space="preserve">6. В настоящее время в Российской Федерации две организации – </w:t>
      </w:r>
      <w:r w:rsidRPr="00E36A35">
        <w:rPr>
          <w:sz w:val="26"/>
          <w:szCs w:val="26"/>
        </w:rPr>
        <w:t>Центр</w:t>
      </w:r>
      <w:r>
        <w:rPr>
          <w:sz w:val="26"/>
          <w:szCs w:val="26"/>
        </w:rPr>
        <w:t xml:space="preserve"> игры и игрушки и </w:t>
      </w:r>
      <w:r w:rsidRPr="00E36A35">
        <w:rPr>
          <w:sz w:val="26"/>
          <w:szCs w:val="26"/>
        </w:rPr>
        <w:t>Объединени</w:t>
      </w:r>
      <w:r>
        <w:rPr>
          <w:sz w:val="26"/>
          <w:szCs w:val="26"/>
        </w:rPr>
        <w:t>е</w:t>
      </w:r>
      <w:r w:rsidRPr="00E36A35">
        <w:rPr>
          <w:sz w:val="26"/>
          <w:szCs w:val="26"/>
        </w:rPr>
        <w:t xml:space="preserve"> независимых экспертов игровой, учебно-методической и электронной продукции для детей</w:t>
      </w:r>
      <w:r>
        <w:rPr>
          <w:sz w:val="26"/>
          <w:szCs w:val="26"/>
        </w:rPr>
        <w:t xml:space="preserve"> – предоставляют услуги по проведению психолого-педагогической экспертизы для производителей игр и игрушек. По информации участников обсуждения, стоимость такой экспертизы у одной из указанных организаций – около 10 тыс. рублей.</w:t>
      </w:r>
    </w:p>
    <w:p w:rsidR="00B56EDA" w:rsidRDefault="00B56EDA" w:rsidP="00180EBB">
      <w:pPr>
        <w:autoSpaceDE w:val="0"/>
        <w:autoSpaceDN w:val="0"/>
        <w:adjustRightInd w:val="0"/>
        <w:spacing w:line="348" w:lineRule="auto"/>
        <w:ind w:firstLine="709"/>
        <w:jc w:val="both"/>
        <w:rPr>
          <w:sz w:val="26"/>
          <w:szCs w:val="26"/>
        </w:rPr>
      </w:pPr>
      <w:r>
        <w:rPr>
          <w:sz w:val="26"/>
          <w:szCs w:val="26"/>
        </w:rPr>
        <w:t xml:space="preserve">Оценить приблизительную стоимость проектируемого дополнительного вида оценки соответствия в условиях отсутствия стандартов, методов исследований (испытаний), аккредитованных органов и специалистов представляется затруднительным. Между тем субъекты предпринимательской деятельности оценивают стоимость прохождения такой экспертизы не менее </w:t>
      </w:r>
      <w:r w:rsidRPr="00F00AE7">
        <w:rPr>
          <w:sz w:val="26"/>
          <w:szCs w:val="26"/>
        </w:rPr>
        <w:t>9 тыс</w:t>
      </w:r>
      <w:r>
        <w:rPr>
          <w:sz w:val="26"/>
          <w:szCs w:val="26"/>
        </w:rPr>
        <w:t>.</w:t>
      </w:r>
      <w:r w:rsidRPr="00F00AE7">
        <w:rPr>
          <w:sz w:val="26"/>
          <w:szCs w:val="26"/>
        </w:rPr>
        <w:t xml:space="preserve"> рублей.</w:t>
      </w:r>
      <w:r>
        <w:rPr>
          <w:sz w:val="26"/>
          <w:szCs w:val="26"/>
        </w:rPr>
        <w:t xml:space="preserve"> </w:t>
      </w:r>
    </w:p>
    <w:p w:rsidR="00B56EDA" w:rsidRDefault="00B56EDA" w:rsidP="00180EBB">
      <w:pPr>
        <w:autoSpaceDE w:val="0"/>
        <w:autoSpaceDN w:val="0"/>
        <w:adjustRightInd w:val="0"/>
        <w:spacing w:line="348" w:lineRule="auto"/>
        <w:ind w:firstLine="709"/>
        <w:jc w:val="both"/>
        <w:rPr>
          <w:sz w:val="26"/>
          <w:szCs w:val="26"/>
        </w:rPr>
      </w:pPr>
      <w:r>
        <w:rPr>
          <w:sz w:val="26"/>
          <w:szCs w:val="26"/>
        </w:rPr>
        <w:t xml:space="preserve">По данным одного из участников обсуждений проектируемых норм, при производстве организацией 2 тыс. наименований игрушек затраты на проведение психолого-педагогической экспертизы могут составить 18-20 млн. рублей. </w:t>
      </w:r>
    </w:p>
    <w:p w:rsidR="00B56EDA" w:rsidRPr="00F00AE7" w:rsidRDefault="00B56EDA" w:rsidP="00180EBB">
      <w:pPr>
        <w:autoSpaceDE w:val="0"/>
        <w:autoSpaceDN w:val="0"/>
        <w:adjustRightInd w:val="0"/>
        <w:spacing w:line="348" w:lineRule="auto"/>
        <w:ind w:firstLine="709"/>
        <w:jc w:val="both"/>
        <w:rPr>
          <w:sz w:val="26"/>
          <w:szCs w:val="26"/>
        </w:rPr>
      </w:pPr>
      <w:r>
        <w:rPr>
          <w:sz w:val="26"/>
          <w:szCs w:val="26"/>
        </w:rPr>
        <w:t>Кроме того, ассортимент игрушек, особенно мягких, по данным хозяйствующих субъектов, постоянно обновляется – 1 производитель может выпускать 20 новинок в месяц (каждую – в нескольких размерах и цветах), таким образом, ежемесячные расходы по проведению психолого-педагогической экспертизы в отношении новых (обновленных) игрушек могут составлять не менее 180-200 тыс. рублей в месяц.</w:t>
      </w:r>
    </w:p>
    <w:p w:rsidR="00B56EDA" w:rsidRDefault="00B56EDA" w:rsidP="009F126A">
      <w:pPr>
        <w:autoSpaceDE w:val="0"/>
        <w:autoSpaceDN w:val="0"/>
        <w:adjustRightInd w:val="0"/>
        <w:spacing w:line="348" w:lineRule="auto"/>
        <w:ind w:firstLine="709"/>
        <w:jc w:val="both"/>
        <w:rPr>
          <w:sz w:val="26"/>
          <w:szCs w:val="26"/>
        </w:rPr>
      </w:pPr>
      <w:r>
        <w:rPr>
          <w:sz w:val="26"/>
          <w:szCs w:val="26"/>
        </w:rPr>
        <w:t xml:space="preserve">7. Обращаем также внимание, что дополнение пункта 1 статьи 4 </w:t>
      </w:r>
      <w:r>
        <w:rPr>
          <w:sz w:val="26"/>
          <w:szCs w:val="26"/>
        </w:rPr>
        <w:br/>
        <w:t xml:space="preserve">ТР ТС 008/2011 проектируемыми </w:t>
      </w:r>
      <w:r w:rsidRPr="009F126A">
        <w:rPr>
          <w:sz w:val="26"/>
          <w:szCs w:val="26"/>
        </w:rPr>
        <w:t>критери</w:t>
      </w:r>
      <w:r>
        <w:rPr>
          <w:sz w:val="26"/>
          <w:szCs w:val="26"/>
        </w:rPr>
        <w:t xml:space="preserve">ями, «влияющими на нравственно-эмоциональное благополучие детей», </w:t>
      </w:r>
      <w:r w:rsidRPr="009F126A">
        <w:rPr>
          <w:sz w:val="26"/>
          <w:szCs w:val="26"/>
        </w:rPr>
        <w:t xml:space="preserve">влечет </w:t>
      </w:r>
      <w:r>
        <w:rPr>
          <w:sz w:val="26"/>
          <w:szCs w:val="26"/>
        </w:rPr>
        <w:t>возможность применения по отношению к производителю, продавцу штрафных санкций, предусмотренных статьей 14.43 Кодекса об административных правонарушениях Российской Федерации. При этом предлагаемые разработчиком критерии являются оценочными, что может привести к росту необоснованных претензий контролирующих органов, избыточным административным расходам хозяйствующих субъектов.</w:t>
      </w:r>
    </w:p>
    <w:p w:rsidR="00B56EDA" w:rsidRDefault="00B56EDA" w:rsidP="00FC6644">
      <w:pPr>
        <w:autoSpaceDE w:val="0"/>
        <w:autoSpaceDN w:val="0"/>
        <w:adjustRightInd w:val="0"/>
        <w:spacing w:line="348"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BF5658">
        <w:rPr>
          <w:sz w:val="26"/>
          <w:szCs w:val="26"/>
        </w:rPr>
        <w:t xml:space="preserve">достаточном обосновании решения проблемы предложенным способом регулирования, а также сделан вывод о </w:t>
      </w:r>
      <w:r>
        <w:rPr>
          <w:sz w:val="26"/>
          <w:szCs w:val="26"/>
        </w:rPr>
        <w:t>наличии</w:t>
      </w:r>
      <w:r w:rsidRPr="00BF5658">
        <w:rPr>
          <w:sz w:val="26"/>
          <w:szCs w:val="26"/>
        </w:rPr>
        <w:t xml:space="preserve"> в проект</w:t>
      </w:r>
      <w:r>
        <w:rPr>
          <w:sz w:val="26"/>
          <w:szCs w:val="26"/>
        </w:rPr>
        <w:t xml:space="preserve">е </w:t>
      </w:r>
      <w:r w:rsidRPr="00BF5658">
        <w:rPr>
          <w:sz w:val="26"/>
          <w:szCs w:val="26"/>
        </w:rPr>
        <w:t>акт</w:t>
      </w:r>
      <w:r>
        <w:rPr>
          <w:sz w:val="26"/>
          <w:szCs w:val="26"/>
        </w:rPr>
        <w:t>а</w:t>
      </w:r>
      <w:r w:rsidRPr="00BF5658">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B56EDA" w:rsidRDefault="00B56EDA" w:rsidP="00FC6644">
      <w:pPr>
        <w:autoSpaceDE w:val="0"/>
        <w:autoSpaceDN w:val="0"/>
        <w:adjustRightInd w:val="0"/>
        <w:spacing w:line="348" w:lineRule="auto"/>
        <w:ind w:firstLine="709"/>
        <w:jc w:val="both"/>
        <w:rPr>
          <w:sz w:val="26"/>
          <w:szCs w:val="26"/>
        </w:rPr>
      </w:pPr>
      <w:r>
        <w:rPr>
          <w:sz w:val="26"/>
          <w:szCs w:val="26"/>
        </w:rPr>
        <w:t>Приложение: на 9 л. в 1 экз.</w:t>
      </w:r>
    </w:p>
    <w:p w:rsidR="00B56EDA" w:rsidRPr="00207410" w:rsidRDefault="00B56EDA" w:rsidP="00207410">
      <w:pPr>
        <w:autoSpaceDE w:val="0"/>
        <w:autoSpaceDN w:val="0"/>
        <w:adjustRightInd w:val="0"/>
        <w:ind w:firstLine="709"/>
        <w:jc w:val="center"/>
        <w:rPr>
          <w:b/>
          <w:sz w:val="26"/>
          <w:szCs w:val="26"/>
        </w:rPr>
      </w:pPr>
      <w:r>
        <w:rPr>
          <w:sz w:val="26"/>
          <w:szCs w:val="26"/>
        </w:rPr>
        <w:br w:type="page"/>
      </w:r>
      <w:r w:rsidRPr="00207410">
        <w:rPr>
          <w:b/>
          <w:sz w:val="26"/>
          <w:szCs w:val="26"/>
        </w:rPr>
        <w:t>Справка о результатах публичных консультаций,</w:t>
      </w:r>
    </w:p>
    <w:p w:rsidR="00B56EDA" w:rsidRPr="00207410" w:rsidRDefault="00B56EDA" w:rsidP="00207410">
      <w:pPr>
        <w:autoSpaceDE w:val="0"/>
        <w:autoSpaceDN w:val="0"/>
        <w:adjustRightInd w:val="0"/>
        <w:ind w:firstLine="709"/>
        <w:jc w:val="center"/>
        <w:rPr>
          <w:b/>
          <w:sz w:val="26"/>
          <w:szCs w:val="26"/>
        </w:rPr>
      </w:pPr>
      <w:r w:rsidRPr="00207410">
        <w:rPr>
          <w:b/>
          <w:sz w:val="26"/>
          <w:szCs w:val="26"/>
        </w:rPr>
        <w:t>проведенных в рамках подготовки заключения об оценке регулирующего воздействия на проект решения Евразийской экономической комиссии</w:t>
      </w:r>
    </w:p>
    <w:p w:rsidR="00B56EDA" w:rsidRPr="00207410" w:rsidRDefault="00B56EDA" w:rsidP="00207410">
      <w:pPr>
        <w:autoSpaceDE w:val="0"/>
        <w:autoSpaceDN w:val="0"/>
        <w:adjustRightInd w:val="0"/>
        <w:ind w:firstLine="709"/>
        <w:jc w:val="center"/>
        <w:rPr>
          <w:b/>
          <w:sz w:val="26"/>
          <w:szCs w:val="26"/>
        </w:rPr>
      </w:pPr>
      <w:r w:rsidRPr="00207410">
        <w:rPr>
          <w:b/>
          <w:sz w:val="26"/>
          <w:szCs w:val="26"/>
        </w:rPr>
        <w:t>«О внесении изменений № 2 в технический регламент Таможенного союза</w:t>
      </w:r>
    </w:p>
    <w:p w:rsidR="00B56EDA" w:rsidRPr="00207410" w:rsidRDefault="00B56EDA" w:rsidP="00207410">
      <w:pPr>
        <w:autoSpaceDE w:val="0"/>
        <w:autoSpaceDN w:val="0"/>
        <w:adjustRightInd w:val="0"/>
        <w:ind w:firstLine="709"/>
        <w:jc w:val="center"/>
        <w:rPr>
          <w:b/>
          <w:sz w:val="26"/>
          <w:szCs w:val="26"/>
        </w:rPr>
      </w:pPr>
      <w:r w:rsidRPr="00207410">
        <w:rPr>
          <w:b/>
          <w:sz w:val="26"/>
          <w:szCs w:val="26"/>
        </w:rPr>
        <w:t>«О безопасности игрушек» (ТР ТС 008/2011)</w:t>
      </w:r>
    </w:p>
    <w:p w:rsidR="00B56EDA" w:rsidRPr="00207410" w:rsidRDefault="00B56EDA" w:rsidP="00207410">
      <w:pPr>
        <w:autoSpaceDE w:val="0"/>
        <w:autoSpaceDN w:val="0"/>
        <w:adjustRightInd w:val="0"/>
        <w:spacing w:line="360" w:lineRule="auto"/>
        <w:ind w:firstLine="709"/>
        <w:jc w:val="both"/>
        <w:rPr>
          <w:sz w:val="26"/>
          <w:szCs w:val="26"/>
        </w:rPr>
      </w:pP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В рамках подготовки заключения об оценке регулирующего воздействия на проект решения Евразийской экономической комиссии «О внесении изменений № 2 в технический регламент Таможенного союза «О безопасности игрушек» (ТР ТС 008/2011)   (далее – проект акта) Минэкономразвития  России  были проведены публичные консультации в срок с 17 по 21 апреля 2017 г., по результатам которых предложения и замечания представили: ООО «Деловая Россия», Ассоциация компаний Интернет-торговли (АКИТ), Некоммерческая организация «Ассоциация предприятий индустрии детских товаров», ООО «Краснокамская фабрика деревянной игрушки».</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ООО «Деловая Россия»: «По мнению Московского государственного психолого-педагогического университета, детская игра – это условное восприятие ребенка и фантазии. Большинство игрушек кукол является моделями персонажей мультфильмов, на которых воспитывались целые поколения. Волшебные, фантастические персонажи, как и соответствующие им игрушки, необходимы для нормальной игры. Предлагая детям кукол исключительно с реалистической внешностью можно редуцировать игру и, таким образом, лишить детей народных культурных традиций.</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В настоящее время для определения методики, механизма, инструментов и критериев определения вредного влияния, наносимого игрушкой на психику ребенка, научные исследования не проводились. На данный момент отсутствуют научные доказательства, что игры с такими игрушками отличаются агрессивностью или нарушением моральных норм. Четкие и однозначные критерии для запрета игрушек отсутствуют.</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Принятие законодательных мер по введению психолого-педагогической экспертизы игрушек для детей предполагает проведение предварительной исследовательской, образовательной и организационной работы, а также разработку четких и однозначных критериев оценки и большой штат квалифицированных экспертов во всех регионах Российской Федерации.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Кроме того, отмечаем, что Технические регламенты принимаются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Данные изменения в части психолого-педагогической экспертизы напрямую не относятся к указанным целям. Целью изменений является «обеспечение нравственно-эмоционального благополучия детей».</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По мнению экспертов, принятие изменений могут привести к изменчивости трактовки данных критериев и параметров соответствия этим критериям. Увеличатся затраты производителя на сертификацию, следствием чего станет рост издержек, что отразится на конечной цене для покупателя и приведет к снижению конкурентоспособности продукции отечественных предприятий на внутреннем и внешнем рынках.</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Меры по преодолению сложившихся тенденций в сфере детских игрушек не должны носить запретительный характер, а направлены на развитие отечественной игровой продукции, в том числе создание конкурентоспособных брендов и персонажей, привлекательных для современных детей разного возраста, а также проведение образовательной работы с родителями, направленной на повышение их квалификации в области игры и игрушки.</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С учетом изложенного, предлагаемые изменения не поддерживаются».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АКИТ: «1. Защита психологического здоровья и благополучия детей без сомнения является крайне важной задачей. Вместе с тем объективные свидетельства и научные обоснования возможности причинения игрушкой вреда психоэмоциональному состоянию детей, признаваемые Всемирной Организацией Здравоохранения и Министерством Здравоохранения Российской Федерации, отсутствуют.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2. Психоэмоциональное состояние детей во многом зависит от среды проживания детей, обычаев, семьи, влияния сверстников, СМИ, литературы, исповедуемой религии. При этом для всего вышеперечисленного подобная экспертиза не проводится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Таким образом, нет объективных доказательств, что предложенное решение позволит решить обозначенную проблему. В случае принятия проекта, цель регулирования не будет достигнута, а затраты на обеспечение прохождения психолого-педагогической экспертизы вызовут увеличение цен на игрушки.</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Описанные в проекте критерии являются во многом оценочными, в результате классические игрушки могут оказаться в зоне риска. Так, например, классические танки, пистолеты и т.п. могут быть признаны провоцирующими игровые сюжеты, связанные с насилием; а домино, монополия, лото и другие настольные игры, где используются кости либо другой способ случайного определения значений могут быть признаны вызывающими развитие интереса к азартным играм. При этом важно отметить, что включение данных критериев в ТР ТС влечет квалификацию нарушения по ст.14.43 КоАП РФ, где штрафы весьма значительны (если несоответствие игрушки по критериям психолого-педагогической безопасности будет расцениваться как угроза психическому здоровью, как это позиционируется в Пояснительной записке к Проекту, то штраф на юридическое лицо за первое нарушение по ч.2 может составить до 600 тысяч рублей,  а за повторное по ч.3 до 1 млн рублей с конфискацией либо приостановлением деятельности с конфискацией). Также важно отметить, что на основании п.2 Проекта (о п.4 ст.3 ТР) можно сделать вывод о том, что экспертиза должна проводиться до выпуска в обращение, т.е. экспертиза должна быть инициирована изготовителем либо импортером. Однако формулировка ст.14.43 КоАП и правоприменительная практика позволяет с высокой долей уверенности утверждать, что к ответственности за несоответствие ТР ТС может быть привлечен и продавец.</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Таким образом возникнут риски привлечения к ответственности изготовителя, импортера и продавца, при том, что предложенные критерии являются оценочными, а значит вывод о соответствии или несоответствии будет во многом зависеть от усмотрения конкретного должностного лица, что в том числе усиливает коррупционные риски.Принятие изменений, перечисленных в Данном проекте, противоречит целям принятия технических регламентов, описанных в статье 52 «Договора о Евразийском экономическом союзе»: «В целях защиты жизни и (или) здоровья человека, имущества, окружающей среды и (или) здоровья животных и растений, предупреждения действий, 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 Принятие технических регламентов Союза в иных целях не допускается».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Неоднозначно могут быть истолкованы термины п.3 предлагаемого регулирования: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А именно:</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«Провоцирование ребенка на агрессивные действия»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«Вызывание у ребенка проявления жестокости по отношению к персонажам игры, в роли которых выступают играющие партнеры»</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«Провоцирование игровых сюжетов, связанных с безнравственностью и насилием»</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«Вызывание нездорового интереса к сексуальным проблемам..»</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«Вызывание развития интереса к азартным играм взрослых.»</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Под подобные положения и термины могут, при желании быть подведены любые настольные игры, а также большинство игрушек.</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Некоммерческая организация «Ассоциация предприятий индустрии детских товаров»: «Анализ законодательства в области проведения экспертизы в социальной сфере показал, что психолого-педагогическая экспертиза (ППЭ) — это вид экспертизы, проводимый с использованием специальных знаний в области психологии и педагогики. Данный вид экспертизы предусматривает оценку событий на психику ребенка, влияние на ценностные установки и поведенческие привычки. Психологическая экспертиза − это исследование, обусловленное необходимостью установления психологического состояния ребенка, включая категории правовых и экспертных понятий, когда нормы материального права связывают с этим обстоятельством наступление вполне конкретных юридических последствий. Проведение такого вида экспертизы не предусмотрено действующим законодательством в сфере технического регулирования. </w:t>
      </w:r>
      <w:r w:rsidRPr="00207410">
        <w:rPr>
          <w:sz w:val="26"/>
          <w:szCs w:val="26"/>
        </w:rPr>
        <w:tab/>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Полагаем, что данный вид экспертизы конфликтует в категории правовых и экспертных понятий, что не представляет возможным включать данный вид экспертизы в область технического регулирования.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В настоящее время научных исследований, которыми были бы определены методика, механизмы, инструменты и критерии определения вреда, наносимого игрушкой ребенку не проводились. Все ссылки на исследования, приводимые коллегами в рамках встреч и публикаций в СМИ носили исключительно оценку полезного воздействия на ребенка игровой среды, т.е. изучались ценности детской игры, ее влияния на развитие ребенка, оценивался развивающий потенциал тех или иных категорий игр и игрушек, важность игры для развития детей.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Предлагаем запросить данные исследования у членов ЕАЭС на предмет применимости для принятия решения и/или использования при проведении экспертизы и ее критериев, включая критерии психолого-педагогической безопасности, обеспечения нравственно-эмоционального благополучия детей играми и игрушками.</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Считаем, что введение в область аккредитация для существующих испытательных лабораторий и сертификационных центров данных требований приведет к массовому исключению из области применения проведение подтверждению игр игрушек на соответствие требованиям технического регламента «О безопасности игрушек» (ТР ТС 008/2011) по объективным причинам отсутствия аккредитованных технических экспертов по определению психолого-педагогической безопасности игр и игрушек нравственно-эмоционального благополучия детей.</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Считаем, что предложенные изменения относятся к высокой по степени регулирующего воздействия, вводят положения, устанавливающие ранее не предусмотренные законодательством Российской Федерации и наднациональным законодательством ЕАЭС и иными нормативными правовыми актами обязанности, запреты и несут существенные ограничения для физических и юридических лиц в сфере предпринимательской и иной экономической деятельности и способствующие их установлению, а также избыточные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значительно превышающем заявленные цели «…защиты детей от возможного негативного воздействия детских игрушек, наносящих вред на их развитие и здоровье».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Анализ законодательства в области проведения экспертизы в социальной сфере показал, что психолого-педагогическая экспертиза (ППЭ) — это вид экспертизы, проводимый с использованием специальных знаний в области психологии и педагогики. Данный вид экспертизы предусматривает оценку событий на психику ребенка, влияние на ценностные установки и поведенческие привычки. Психологическая экспертиза − это исследование, обусловленное необходимостью установления психологического состояния ребенка, включая категории правовых и экспертных понятий, когда нормы материального права связывают с этим обстоятельством наступление вполне конкретных юридических последствий. Проведение такого вида экспертизы не предусмотрено действующим законодательством в сфере технического регулирования. </w:t>
      </w:r>
      <w:r w:rsidRPr="00207410">
        <w:rPr>
          <w:sz w:val="26"/>
          <w:szCs w:val="26"/>
        </w:rPr>
        <w:tab/>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Полагаем, что данный вид экспертизы конфликтует в категории правовых и экспертных понятий, что не представляет возможным включать данный вид экспертизы в область технического регулирования.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В настоящее время научных исследований, которыми были бы определены методика, механизмы, инструменты и критерии определения вреда, наносимого игрушкой ребенку не проводились. Все ссылки на исследования, приводимые коллегами в рамках встреч и публикаций в СМИ носили исключительно оценку полезного воздействия на ребенка игровой среды, т.е. изучались ценности детской игры, ее влияния на развитие ребенка, оценивался развивающий потенциал тех или иных категорий игр и игрушек, важность игры для развития детей.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Предлагаем запросить данные исследования у членов ЕАЭС на предмет применимости для принятия решения и/или использования при проведении экспертизы и ее критериев, включая критерии психолого-педагогической безопасности, обеспечения нравственно-эмоционального благополучия детей играми и игрушками.</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Считаем, что введение в область аккредитация для существующих испытательных лабораторий и сертификационных центров данных требований приведет к массовому исключению из области применения проведение подтверждению игр игрушек на соответствие требованиям технического регламента «О безопасности игрушек» (ТР ТС 008/2011) по объективным причинам отсутствия аккредитованных технических экспертов по определению психолого-педагогической безопасности игр и игрушек нравственно-эмоционального благополучия детей.</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Считаем, что предложенные изменения относятся к высокой по степени регулирующего воздействия, вводят положения, устанавливающие ранее не предусмотренные законодательством Российской Федерации и наднациональным законодательством ЕАЭС и иными нормативными правовыми актами обязанности, запреты и несут существенные ограничения для физических и юридических лиц в сфере предпринимательской и иной экономической деятельности и способствующие их установлению, а также избыточные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значительно превышающем заявленные цели «…защиты детей от возможного негативного воздействия детских игрушек, наносящих вред на их развитие и здоровье».</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К более эффективным способам решения проблемы корреспондент отнес следующие: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 xml:space="preserve">Федеральный закон от 24 июля 1998 г. № 124-ФЗ «Об основных гарантиях прав ребенка в Российской Федерации» (статья 14. Защита ребенка от информации, пропаганды и агитации, наносящих вред его здоровью, нравственному и духовному развитию); </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Федеральный закон от 29 декабря 2010 г. № 436-ФЗ «О защите детей от информации, причиняющей вред их здоровью и развитию»;</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Федеральный закон от 13 марта 2006 г. № 38-ФЗ «О рекламе» (статья 6. Защита несовершеннолетних в рекламе).</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Проект акта содержит нормы, противоречащие действующему законодательству: «согласно пункту 1 статьи 52 Договора технические регламенты Союза принимаются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Проектируемые изменения в части психолого-педагогической экспертизы не относятся к вопросам защиты жизни и (или) здоровья человека, предупреждения действий, вводящих в заблуждение потребителей. Целью проектируемых норм является «обеспечение нравственно-эмоционального благополучия детей». Таким образом, положения проекта изменений не могут являться предметом технического регулирования».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Проект акта содержит нормы, положения и термины, позволяющие их толковать неоднозначно: «согласно пункту 2 статьи 52 Договора о Евразийском экономическом союзе, подписанного в г. Астане 29 мая 2014 г. (далее - Договор, Союз), технические регламенты Союза имеют прямое действие на территории Союза, поэтому нормы технического регламента должны быть однозначно определены. В то же время нормы проекта изменений носят неопределенный характер как в части определения понятия «психолого-педагогическая экспертиза», так и перечня отрицательных последствий для «нравственно-эмоционального благополучия детей».</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Положениями проекта изменений определяется, что психолого-педагогическая экспертиза проводится «в соответствии с национальным законодательством сторон Таможенного союза». Между тем согласно пунктам 6,</w:t>
      </w:r>
      <w:r w:rsidRPr="00207410">
        <w:rPr>
          <w:sz w:val="26"/>
          <w:szCs w:val="26"/>
        </w:rPr>
        <w:tab/>
        <w:t>7 и 13 статьи 51 Договора к общим принципам технического регулирования в рамках Союза в том числе относятся: единство правил и методов исследований (испытаний) и измерений при проведении процедур обязательной оценки соответствия; единство применения требований технических регламентов Союза независимо от видов и (или) особенностей сделок; единство правил и процедур проведения обязательной оценки соответствия.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Требования в части оценки соответствия, установленные в техническом регламенте, едины в рамках Союза и не могут быть установлены «национальным законодательством сторон Таможенного союза».</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Проект акта содержит нормы, невыполнимые на практике: «согласно пункту 3 статьи 52 Договора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 Остается неясным, какие стандарты могут быть применены при проведении «психолого-педагогической экспертизы».</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Стандарты, предлагаемые разработчиком к применению при проведении психолого-педагогической экспертизы, не предназначены для обеспечения «творческого, познавательного, физического и нравственно-духовного развития», не содержат требований и методов испытаний, определяющих потенциальную возможность «стать предметом соответствующего действия (деятельности) ребенка», а также не содержат показателей, подтверждающих полифункциональное использование игрушек для развития способностей ребенка».</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«Кроме того, согласно пункту 2 статьи 53 Договора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 При этом государства- 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ООО «Краснокамская фабрика деревянной игрушки»: «Проблема нравственно-эмоционального воспитания детей актуальна, данный проект эту проблему не решит».</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К рискам и негативным последствиям для бизнеса принятия проекта акта корреспондент отнес «дополнительные финансовые расходы производства, в следствие – увеличение цен на продукцию (детские товары)».</w:t>
      </w:r>
    </w:p>
    <w:p w:rsidR="00B56EDA" w:rsidRPr="00207410" w:rsidRDefault="00B56EDA" w:rsidP="00207410">
      <w:pPr>
        <w:autoSpaceDE w:val="0"/>
        <w:autoSpaceDN w:val="0"/>
        <w:adjustRightInd w:val="0"/>
        <w:spacing w:line="360" w:lineRule="auto"/>
        <w:ind w:firstLine="709"/>
        <w:jc w:val="both"/>
        <w:rPr>
          <w:sz w:val="26"/>
          <w:szCs w:val="26"/>
        </w:rPr>
      </w:pPr>
      <w:r w:rsidRPr="00207410">
        <w:rPr>
          <w:sz w:val="26"/>
          <w:szCs w:val="26"/>
        </w:rPr>
        <w:t>«Более эффективный способ решения проблемы, по нашему мнению – это пропаганда семьи и семейных ценностей среди граждан РФ, а так же среди подрастающего поколения.</w:t>
      </w:r>
    </w:p>
    <w:p w:rsidR="00B56EDA" w:rsidRDefault="00B56EDA" w:rsidP="00207410">
      <w:pPr>
        <w:autoSpaceDE w:val="0"/>
        <w:autoSpaceDN w:val="0"/>
        <w:adjustRightInd w:val="0"/>
        <w:spacing w:line="360" w:lineRule="auto"/>
        <w:ind w:firstLine="709"/>
        <w:jc w:val="both"/>
        <w:rPr>
          <w:sz w:val="26"/>
          <w:szCs w:val="26"/>
        </w:rPr>
      </w:pPr>
      <w:r w:rsidRPr="00207410">
        <w:rPr>
          <w:sz w:val="26"/>
          <w:szCs w:val="26"/>
        </w:rPr>
        <w:t>В проекте акта отсутствует конкретизация методики оценки проведения экспертизы».</w:t>
      </w:r>
    </w:p>
    <w:sectPr w:rsidR="00B56EDA" w:rsidSect="007721E2">
      <w:headerReference w:type="even" r:id="rId10"/>
      <w:headerReference w:type="default" r:id="rId11"/>
      <w:footerReference w:type="even" r:id="rId12"/>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DA" w:rsidRDefault="00B56EDA">
      <w:r>
        <w:separator/>
      </w:r>
    </w:p>
  </w:endnote>
  <w:endnote w:type="continuationSeparator" w:id="0">
    <w:p w:rsidR="00B56EDA" w:rsidRDefault="00B56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DA" w:rsidRDefault="00B56EDA"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56EDA" w:rsidRDefault="00B56EDA"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DA" w:rsidRDefault="00B56EDA">
      <w:r>
        <w:separator/>
      </w:r>
    </w:p>
  </w:footnote>
  <w:footnote w:type="continuationSeparator" w:id="0">
    <w:p w:rsidR="00B56EDA" w:rsidRDefault="00B56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DA" w:rsidRDefault="00B56EDA"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EDA" w:rsidRDefault="00B56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DA" w:rsidRDefault="00B56EDA"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56EDA" w:rsidRDefault="00B56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8CD7BAC"/>
    <w:multiLevelType w:val="hybridMultilevel"/>
    <w:tmpl w:val="6EDECB7E"/>
    <w:lvl w:ilvl="0" w:tplc="FFAE71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D910624"/>
    <w:multiLevelType w:val="hybridMultilevel"/>
    <w:tmpl w:val="82846E52"/>
    <w:lvl w:ilvl="0" w:tplc="835AAE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3">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2"/>
  </w:num>
  <w:num w:numId="3">
    <w:abstractNumId w:val="7"/>
  </w:num>
  <w:num w:numId="4">
    <w:abstractNumId w:val="5"/>
  </w:num>
  <w:num w:numId="5">
    <w:abstractNumId w:val="11"/>
  </w:num>
  <w:num w:numId="6">
    <w:abstractNumId w:val="9"/>
  </w:num>
  <w:num w:numId="7">
    <w:abstractNumId w:val="1"/>
  </w:num>
  <w:num w:numId="8">
    <w:abstractNumId w:val="17"/>
  </w:num>
  <w:num w:numId="9">
    <w:abstractNumId w:val="2"/>
  </w:num>
  <w:num w:numId="10">
    <w:abstractNumId w:val="13"/>
  </w:num>
  <w:num w:numId="11">
    <w:abstractNumId w:val="16"/>
  </w:num>
  <w:num w:numId="12">
    <w:abstractNumId w:val="14"/>
  </w:num>
  <w:num w:numId="13">
    <w:abstractNumId w:val="0"/>
  </w:num>
  <w:num w:numId="14">
    <w:abstractNumId w:val="3"/>
  </w:num>
  <w:num w:numId="15">
    <w:abstractNumId w:val="15"/>
  </w:num>
  <w:num w:numId="16">
    <w:abstractNumId w:val="8"/>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13010"/>
    <w:rsid w:val="000137FC"/>
    <w:rsid w:val="00013F6C"/>
    <w:rsid w:val="00016A3C"/>
    <w:rsid w:val="0002193D"/>
    <w:rsid w:val="000252D8"/>
    <w:rsid w:val="00025372"/>
    <w:rsid w:val="00026145"/>
    <w:rsid w:val="0003512B"/>
    <w:rsid w:val="00040939"/>
    <w:rsid w:val="00041B73"/>
    <w:rsid w:val="00044C7E"/>
    <w:rsid w:val="000573ED"/>
    <w:rsid w:val="0006527C"/>
    <w:rsid w:val="0006754A"/>
    <w:rsid w:val="00071618"/>
    <w:rsid w:val="0007695A"/>
    <w:rsid w:val="00091224"/>
    <w:rsid w:val="00093394"/>
    <w:rsid w:val="000A171D"/>
    <w:rsid w:val="000B1F48"/>
    <w:rsid w:val="000B6DFF"/>
    <w:rsid w:val="000B75B4"/>
    <w:rsid w:val="000C3950"/>
    <w:rsid w:val="000D181C"/>
    <w:rsid w:val="000D2811"/>
    <w:rsid w:val="000D7DD0"/>
    <w:rsid w:val="000E0C13"/>
    <w:rsid w:val="000F0E7B"/>
    <w:rsid w:val="000F1D51"/>
    <w:rsid w:val="000F3410"/>
    <w:rsid w:val="0011268F"/>
    <w:rsid w:val="00114583"/>
    <w:rsid w:val="00115101"/>
    <w:rsid w:val="00122881"/>
    <w:rsid w:val="00122FC5"/>
    <w:rsid w:val="00140372"/>
    <w:rsid w:val="00141092"/>
    <w:rsid w:val="0014598D"/>
    <w:rsid w:val="00154891"/>
    <w:rsid w:val="0015559E"/>
    <w:rsid w:val="001568F4"/>
    <w:rsid w:val="00156BD5"/>
    <w:rsid w:val="0017039C"/>
    <w:rsid w:val="00180EBB"/>
    <w:rsid w:val="00186714"/>
    <w:rsid w:val="00192687"/>
    <w:rsid w:val="0019578B"/>
    <w:rsid w:val="001A1745"/>
    <w:rsid w:val="001B0331"/>
    <w:rsid w:val="001C42B7"/>
    <w:rsid w:val="001D081F"/>
    <w:rsid w:val="001D7B08"/>
    <w:rsid w:val="001E12E4"/>
    <w:rsid w:val="001F36A6"/>
    <w:rsid w:val="001F61D9"/>
    <w:rsid w:val="002024AA"/>
    <w:rsid w:val="00203A1A"/>
    <w:rsid w:val="00207410"/>
    <w:rsid w:val="00213820"/>
    <w:rsid w:val="00216F25"/>
    <w:rsid w:val="002175FF"/>
    <w:rsid w:val="00217B3F"/>
    <w:rsid w:val="00225561"/>
    <w:rsid w:val="002267CF"/>
    <w:rsid w:val="00231444"/>
    <w:rsid w:val="0023247E"/>
    <w:rsid w:val="00237A75"/>
    <w:rsid w:val="00241113"/>
    <w:rsid w:val="0024345D"/>
    <w:rsid w:val="002501CC"/>
    <w:rsid w:val="002506E7"/>
    <w:rsid w:val="00253E19"/>
    <w:rsid w:val="002616D4"/>
    <w:rsid w:val="00275B43"/>
    <w:rsid w:val="002766E9"/>
    <w:rsid w:val="0028216B"/>
    <w:rsid w:val="0029474E"/>
    <w:rsid w:val="00295011"/>
    <w:rsid w:val="002B2BDD"/>
    <w:rsid w:val="002B2EC0"/>
    <w:rsid w:val="002B4DB1"/>
    <w:rsid w:val="002B613B"/>
    <w:rsid w:val="002B7EEB"/>
    <w:rsid w:val="002E149A"/>
    <w:rsid w:val="002E40AB"/>
    <w:rsid w:val="00300316"/>
    <w:rsid w:val="00302C49"/>
    <w:rsid w:val="0030345C"/>
    <w:rsid w:val="00311ACF"/>
    <w:rsid w:val="00314E5E"/>
    <w:rsid w:val="00320B95"/>
    <w:rsid w:val="00322402"/>
    <w:rsid w:val="003267CA"/>
    <w:rsid w:val="00327F40"/>
    <w:rsid w:val="0033065F"/>
    <w:rsid w:val="003342F9"/>
    <w:rsid w:val="00335B43"/>
    <w:rsid w:val="00344B37"/>
    <w:rsid w:val="00351724"/>
    <w:rsid w:val="003666AD"/>
    <w:rsid w:val="0037314A"/>
    <w:rsid w:val="003731F1"/>
    <w:rsid w:val="0037661E"/>
    <w:rsid w:val="00376B24"/>
    <w:rsid w:val="00376B28"/>
    <w:rsid w:val="00391FE9"/>
    <w:rsid w:val="00396CF1"/>
    <w:rsid w:val="003A4D3D"/>
    <w:rsid w:val="003A4D84"/>
    <w:rsid w:val="003A6A9D"/>
    <w:rsid w:val="003A7F37"/>
    <w:rsid w:val="003B373E"/>
    <w:rsid w:val="003B6315"/>
    <w:rsid w:val="003B6B87"/>
    <w:rsid w:val="003B6FB1"/>
    <w:rsid w:val="003C0488"/>
    <w:rsid w:val="003C402C"/>
    <w:rsid w:val="003D0FF1"/>
    <w:rsid w:val="003D49ED"/>
    <w:rsid w:val="003D65F7"/>
    <w:rsid w:val="003E03D9"/>
    <w:rsid w:val="003E07A0"/>
    <w:rsid w:val="003F1DC1"/>
    <w:rsid w:val="003F63AD"/>
    <w:rsid w:val="003F787C"/>
    <w:rsid w:val="0040444A"/>
    <w:rsid w:val="00417463"/>
    <w:rsid w:val="00437BA5"/>
    <w:rsid w:val="004429CD"/>
    <w:rsid w:val="0045153F"/>
    <w:rsid w:val="00452943"/>
    <w:rsid w:val="00453AFB"/>
    <w:rsid w:val="0045672A"/>
    <w:rsid w:val="0046217C"/>
    <w:rsid w:val="00462350"/>
    <w:rsid w:val="00463041"/>
    <w:rsid w:val="00473CB3"/>
    <w:rsid w:val="00480623"/>
    <w:rsid w:val="004825C6"/>
    <w:rsid w:val="00485F09"/>
    <w:rsid w:val="00494013"/>
    <w:rsid w:val="00497E77"/>
    <w:rsid w:val="00497F97"/>
    <w:rsid w:val="004A025C"/>
    <w:rsid w:val="004A5D21"/>
    <w:rsid w:val="004B3CAD"/>
    <w:rsid w:val="004C142D"/>
    <w:rsid w:val="004C35DB"/>
    <w:rsid w:val="004C48DB"/>
    <w:rsid w:val="004C7FBC"/>
    <w:rsid w:val="004D0E22"/>
    <w:rsid w:val="004E134C"/>
    <w:rsid w:val="004F0FB9"/>
    <w:rsid w:val="004F4E3C"/>
    <w:rsid w:val="00507379"/>
    <w:rsid w:val="0051031C"/>
    <w:rsid w:val="005132C8"/>
    <w:rsid w:val="00514E9A"/>
    <w:rsid w:val="00516C58"/>
    <w:rsid w:val="0052076F"/>
    <w:rsid w:val="00525F72"/>
    <w:rsid w:val="0053789F"/>
    <w:rsid w:val="00546525"/>
    <w:rsid w:val="00552717"/>
    <w:rsid w:val="00552C82"/>
    <w:rsid w:val="00556158"/>
    <w:rsid w:val="00562753"/>
    <w:rsid w:val="0056306E"/>
    <w:rsid w:val="00571761"/>
    <w:rsid w:val="00576556"/>
    <w:rsid w:val="00590111"/>
    <w:rsid w:val="00590BE3"/>
    <w:rsid w:val="00593308"/>
    <w:rsid w:val="005A0CD8"/>
    <w:rsid w:val="005A175E"/>
    <w:rsid w:val="005A32AA"/>
    <w:rsid w:val="005A4B48"/>
    <w:rsid w:val="005B01D6"/>
    <w:rsid w:val="005B161E"/>
    <w:rsid w:val="005B28CC"/>
    <w:rsid w:val="005B3861"/>
    <w:rsid w:val="005C3108"/>
    <w:rsid w:val="005D45DE"/>
    <w:rsid w:val="005D6507"/>
    <w:rsid w:val="005E20DE"/>
    <w:rsid w:val="005E6461"/>
    <w:rsid w:val="005F7F79"/>
    <w:rsid w:val="006023E5"/>
    <w:rsid w:val="00603C0B"/>
    <w:rsid w:val="0060413B"/>
    <w:rsid w:val="006065B5"/>
    <w:rsid w:val="00611187"/>
    <w:rsid w:val="00611758"/>
    <w:rsid w:val="006162B6"/>
    <w:rsid w:val="00626E86"/>
    <w:rsid w:val="00640EB0"/>
    <w:rsid w:val="00642B8E"/>
    <w:rsid w:val="00643C2E"/>
    <w:rsid w:val="00643FBB"/>
    <w:rsid w:val="006457BA"/>
    <w:rsid w:val="00646260"/>
    <w:rsid w:val="006500C2"/>
    <w:rsid w:val="00650700"/>
    <w:rsid w:val="006550D7"/>
    <w:rsid w:val="00673D93"/>
    <w:rsid w:val="00677F97"/>
    <w:rsid w:val="006832E5"/>
    <w:rsid w:val="006A00E0"/>
    <w:rsid w:val="006A0137"/>
    <w:rsid w:val="006A3B9B"/>
    <w:rsid w:val="006A6CCF"/>
    <w:rsid w:val="006B0366"/>
    <w:rsid w:val="006C13DF"/>
    <w:rsid w:val="006C2E99"/>
    <w:rsid w:val="006D4E1E"/>
    <w:rsid w:val="006E0735"/>
    <w:rsid w:val="006E34FA"/>
    <w:rsid w:val="006E396C"/>
    <w:rsid w:val="00701748"/>
    <w:rsid w:val="00706444"/>
    <w:rsid w:val="0071016E"/>
    <w:rsid w:val="00710C8A"/>
    <w:rsid w:val="00711109"/>
    <w:rsid w:val="0071176A"/>
    <w:rsid w:val="00717B2F"/>
    <w:rsid w:val="007313CA"/>
    <w:rsid w:val="00733DB5"/>
    <w:rsid w:val="00734EC9"/>
    <w:rsid w:val="00737713"/>
    <w:rsid w:val="00742982"/>
    <w:rsid w:val="0074467D"/>
    <w:rsid w:val="00750E09"/>
    <w:rsid w:val="00764CFC"/>
    <w:rsid w:val="00765312"/>
    <w:rsid w:val="007721E2"/>
    <w:rsid w:val="00773C5E"/>
    <w:rsid w:val="0078039A"/>
    <w:rsid w:val="0078169F"/>
    <w:rsid w:val="00781E8D"/>
    <w:rsid w:val="00782951"/>
    <w:rsid w:val="00783FCF"/>
    <w:rsid w:val="00787896"/>
    <w:rsid w:val="00790E36"/>
    <w:rsid w:val="00792FE8"/>
    <w:rsid w:val="00795292"/>
    <w:rsid w:val="00796492"/>
    <w:rsid w:val="007A1D71"/>
    <w:rsid w:val="007A658B"/>
    <w:rsid w:val="007B1508"/>
    <w:rsid w:val="007B2EDF"/>
    <w:rsid w:val="007B5817"/>
    <w:rsid w:val="007B7FA8"/>
    <w:rsid w:val="007C008F"/>
    <w:rsid w:val="007C3C4A"/>
    <w:rsid w:val="007C75CF"/>
    <w:rsid w:val="007D10F4"/>
    <w:rsid w:val="007D4292"/>
    <w:rsid w:val="007E66BD"/>
    <w:rsid w:val="007E6927"/>
    <w:rsid w:val="007E72F9"/>
    <w:rsid w:val="007F1D38"/>
    <w:rsid w:val="007F3863"/>
    <w:rsid w:val="007F68C5"/>
    <w:rsid w:val="00807E87"/>
    <w:rsid w:val="0082272A"/>
    <w:rsid w:val="008252B6"/>
    <w:rsid w:val="008273C6"/>
    <w:rsid w:val="008359EE"/>
    <w:rsid w:val="00843A3A"/>
    <w:rsid w:val="00854A22"/>
    <w:rsid w:val="0085727A"/>
    <w:rsid w:val="00857857"/>
    <w:rsid w:val="008712B0"/>
    <w:rsid w:val="00872E6B"/>
    <w:rsid w:val="008733CF"/>
    <w:rsid w:val="00875BC8"/>
    <w:rsid w:val="008767EA"/>
    <w:rsid w:val="00882529"/>
    <w:rsid w:val="008831B3"/>
    <w:rsid w:val="00883FEE"/>
    <w:rsid w:val="00887459"/>
    <w:rsid w:val="008907A1"/>
    <w:rsid w:val="008943A2"/>
    <w:rsid w:val="0089525F"/>
    <w:rsid w:val="00895531"/>
    <w:rsid w:val="00896E76"/>
    <w:rsid w:val="00897775"/>
    <w:rsid w:val="008A07F2"/>
    <w:rsid w:val="008A232A"/>
    <w:rsid w:val="008A51CE"/>
    <w:rsid w:val="008A6D82"/>
    <w:rsid w:val="008B422E"/>
    <w:rsid w:val="008B69ED"/>
    <w:rsid w:val="008C02C1"/>
    <w:rsid w:val="008C70A5"/>
    <w:rsid w:val="008D1D0A"/>
    <w:rsid w:val="008D3714"/>
    <w:rsid w:val="008E0B13"/>
    <w:rsid w:val="008F0DD2"/>
    <w:rsid w:val="008F5821"/>
    <w:rsid w:val="008F6C5A"/>
    <w:rsid w:val="0090466C"/>
    <w:rsid w:val="00910639"/>
    <w:rsid w:val="00911FDC"/>
    <w:rsid w:val="00917334"/>
    <w:rsid w:val="00924817"/>
    <w:rsid w:val="00935963"/>
    <w:rsid w:val="00936A13"/>
    <w:rsid w:val="00943B13"/>
    <w:rsid w:val="0094481E"/>
    <w:rsid w:val="00945C03"/>
    <w:rsid w:val="0094632E"/>
    <w:rsid w:val="00947068"/>
    <w:rsid w:val="009502BC"/>
    <w:rsid w:val="00951AB1"/>
    <w:rsid w:val="00961DE4"/>
    <w:rsid w:val="009639DD"/>
    <w:rsid w:val="00970555"/>
    <w:rsid w:val="00977F88"/>
    <w:rsid w:val="00980296"/>
    <w:rsid w:val="009812DF"/>
    <w:rsid w:val="00983460"/>
    <w:rsid w:val="00991A04"/>
    <w:rsid w:val="00992932"/>
    <w:rsid w:val="009947DA"/>
    <w:rsid w:val="00994E49"/>
    <w:rsid w:val="00997CB0"/>
    <w:rsid w:val="009A09A3"/>
    <w:rsid w:val="009A2C97"/>
    <w:rsid w:val="009A37D5"/>
    <w:rsid w:val="009A4E22"/>
    <w:rsid w:val="009A5DDF"/>
    <w:rsid w:val="009B15F6"/>
    <w:rsid w:val="009B45FB"/>
    <w:rsid w:val="009C3936"/>
    <w:rsid w:val="009C3A4C"/>
    <w:rsid w:val="009C543E"/>
    <w:rsid w:val="009E27C1"/>
    <w:rsid w:val="009E43CF"/>
    <w:rsid w:val="009E62A3"/>
    <w:rsid w:val="009F126A"/>
    <w:rsid w:val="009F185E"/>
    <w:rsid w:val="009F2C5C"/>
    <w:rsid w:val="00A02B41"/>
    <w:rsid w:val="00A03F56"/>
    <w:rsid w:val="00A15C2E"/>
    <w:rsid w:val="00A16C91"/>
    <w:rsid w:val="00A224C9"/>
    <w:rsid w:val="00A26DF7"/>
    <w:rsid w:val="00A33F92"/>
    <w:rsid w:val="00A372F3"/>
    <w:rsid w:val="00A4418F"/>
    <w:rsid w:val="00A458F3"/>
    <w:rsid w:val="00A529A7"/>
    <w:rsid w:val="00A6183B"/>
    <w:rsid w:val="00A66A4B"/>
    <w:rsid w:val="00A75E80"/>
    <w:rsid w:val="00A95500"/>
    <w:rsid w:val="00AA65E5"/>
    <w:rsid w:val="00AB0BCB"/>
    <w:rsid w:val="00AB0CAD"/>
    <w:rsid w:val="00AB439B"/>
    <w:rsid w:val="00AB5C92"/>
    <w:rsid w:val="00AB6DBA"/>
    <w:rsid w:val="00AC5F74"/>
    <w:rsid w:val="00AC6383"/>
    <w:rsid w:val="00AD0FD7"/>
    <w:rsid w:val="00AD4508"/>
    <w:rsid w:val="00AD452A"/>
    <w:rsid w:val="00AD6F80"/>
    <w:rsid w:val="00AE1CEA"/>
    <w:rsid w:val="00AF1159"/>
    <w:rsid w:val="00AF283E"/>
    <w:rsid w:val="00AF38B7"/>
    <w:rsid w:val="00AF3C28"/>
    <w:rsid w:val="00B076AF"/>
    <w:rsid w:val="00B13B3E"/>
    <w:rsid w:val="00B17BD4"/>
    <w:rsid w:val="00B23B9C"/>
    <w:rsid w:val="00B32273"/>
    <w:rsid w:val="00B347A6"/>
    <w:rsid w:val="00B53750"/>
    <w:rsid w:val="00B55D6E"/>
    <w:rsid w:val="00B56EDA"/>
    <w:rsid w:val="00B61EDD"/>
    <w:rsid w:val="00B62368"/>
    <w:rsid w:val="00B64F58"/>
    <w:rsid w:val="00B65393"/>
    <w:rsid w:val="00B665E7"/>
    <w:rsid w:val="00B709E0"/>
    <w:rsid w:val="00B70DCA"/>
    <w:rsid w:val="00B723E8"/>
    <w:rsid w:val="00B75848"/>
    <w:rsid w:val="00B7672F"/>
    <w:rsid w:val="00B77160"/>
    <w:rsid w:val="00B7718A"/>
    <w:rsid w:val="00B80EAF"/>
    <w:rsid w:val="00B82FDC"/>
    <w:rsid w:val="00B85C44"/>
    <w:rsid w:val="00B86135"/>
    <w:rsid w:val="00B879F2"/>
    <w:rsid w:val="00B90F33"/>
    <w:rsid w:val="00B93CBA"/>
    <w:rsid w:val="00BA41C3"/>
    <w:rsid w:val="00BD051A"/>
    <w:rsid w:val="00BF5658"/>
    <w:rsid w:val="00C04F4D"/>
    <w:rsid w:val="00C05CD5"/>
    <w:rsid w:val="00C16DB7"/>
    <w:rsid w:val="00C224BA"/>
    <w:rsid w:val="00C3253A"/>
    <w:rsid w:val="00C3294D"/>
    <w:rsid w:val="00C35A7B"/>
    <w:rsid w:val="00C37D03"/>
    <w:rsid w:val="00C52294"/>
    <w:rsid w:val="00C602A2"/>
    <w:rsid w:val="00C619A5"/>
    <w:rsid w:val="00C61A91"/>
    <w:rsid w:val="00C63C9C"/>
    <w:rsid w:val="00C65109"/>
    <w:rsid w:val="00C73D2C"/>
    <w:rsid w:val="00C755B0"/>
    <w:rsid w:val="00C832ED"/>
    <w:rsid w:val="00C84A66"/>
    <w:rsid w:val="00C8654F"/>
    <w:rsid w:val="00C958AE"/>
    <w:rsid w:val="00C9733C"/>
    <w:rsid w:val="00CA426C"/>
    <w:rsid w:val="00CA4A09"/>
    <w:rsid w:val="00CA7B31"/>
    <w:rsid w:val="00CB40D4"/>
    <w:rsid w:val="00CB76EE"/>
    <w:rsid w:val="00CE429F"/>
    <w:rsid w:val="00CE47E5"/>
    <w:rsid w:val="00CE611D"/>
    <w:rsid w:val="00CF1193"/>
    <w:rsid w:val="00CF34A7"/>
    <w:rsid w:val="00CF54AE"/>
    <w:rsid w:val="00D00485"/>
    <w:rsid w:val="00D0497A"/>
    <w:rsid w:val="00D06978"/>
    <w:rsid w:val="00D12F6A"/>
    <w:rsid w:val="00D13B3A"/>
    <w:rsid w:val="00D165D5"/>
    <w:rsid w:val="00D16ECE"/>
    <w:rsid w:val="00D2773E"/>
    <w:rsid w:val="00D3427B"/>
    <w:rsid w:val="00D36CF3"/>
    <w:rsid w:val="00D40002"/>
    <w:rsid w:val="00D4090B"/>
    <w:rsid w:val="00D43CAE"/>
    <w:rsid w:val="00D45675"/>
    <w:rsid w:val="00D51A1E"/>
    <w:rsid w:val="00D55EB5"/>
    <w:rsid w:val="00D72AAF"/>
    <w:rsid w:val="00D81701"/>
    <w:rsid w:val="00D81796"/>
    <w:rsid w:val="00D83358"/>
    <w:rsid w:val="00D83F61"/>
    <w:rsid w:val="00D914B1"/>
    <w:rsid w:val="00D920D1"/>
    <w:rsid w:val="00DA0629"/>
    <w:rsid w:val="00DA3505"/>
    <w:rsid w:val="00DA582B"/>
    <w:rsid w:val="00DA65DD"/>
    <w:rsid w:val="00DA78DC"/>
    <w:rsid w:val="00DB0FE5"/>
    <w:rsid w:val="00DB1D88"/>
    <w:rsid w:val="00DC3FF5"/>
    <w:rsid w:val="00DC5E82"/>
    <w:rsid w:val="00DC6718"/>
    <w:rsid w:val="00DD1A9F"/>
    <w:rsid w:val="00DD2FE9"/>
    <w:rsid w:val="00DD2FFC"/>
    <w:rsid w:val="00DD3126"/>
    <w:rsid w:val="00DD5276"/>
    <w:rsid w:val="00DD655F"/>
    <w:rsid w:val="00DE06F3"/>
    <w:rsid w:val="00DE0B4B"/>
    <w:rsid w:val="00DF1B74"/>
    <w:rsid w:val="00DF4279"/>
    <w:rsid w:val="00DF506A"/>
    <w:rsid w:val="00DF541D"/>
    <w:rsid w:val="00DF55FE"/>
    <w:rsid w:val="00E00CE6"/>
    <w:rsid w:val="00E05147"/>
    <w:rsid w:val="00E071F3"/>
    <w:rsid w:val="00E357AB"/>
    <w:rsid w:val="00E36A35"/>
    <w:rsid w:val="00E47220"/>
    <w:rsid w:val="00E477C1"/>
    <w:rsid w:val="00E63C03"/>
    <w:rsid w:val="00E640D4"/>
    <w:rsid w:val="00E73C52"/>
    <w:rsid w:val="00E744E6"/>
    <w:rsid w:val="00E75951"/>
    <w:rsid w:val="00E75A30"/>
    <w:rsid w:val="00E90506"/>
    <w:rsid w:val="00E9486B"/>
    <w:rsid w:val="00EA07FD"/>
    <w:rsid w:val="00EA276B"/>
    <w:rsid w:val="00EA77A6"/>
    <w:rsid w:val="00EB15FB"/>
    <w:rsid w:val="00ED14B6"/>
    <w:rsid w:val="00ED5F3B"/>
    <w:rsid w:val="00EE258F"/>
    <w:rsid w:val="00EE2CFC"/>
    <w:rsid w:val="00EF3A35"/>
    <w:rsid w:val="00EF6F24"/>
    <w:rsid w:val="00F00AE7"/>
    <w:rsid w:val="00F00DCB"/>
    <w:rsid w:val="00F12BA4"/>
    <w:rsid w:val="00F1781D"/>
    <w:rsid w:val="00F237D9"/>
    <w:rsid w:val="00F34502"/>
    <w:rsid w:val="00F35295"/>
    <w:rsid w:val="00F4745D"/>
    <w:rsid w:val="00F549FE"/>
    <w:rsid w:val="00F560BA"/>
    <w:rsid w:val="00F56389"/>
    <w:rsid w:val="00F57E33"/>
    <w:rsid w:val="00F65480"/>
    <w:rsid w:val="00F65674"/>
    <w:rsid w:val="00F761EA"/>
    <w:rsid w:val="00F80918"/>
    <w:rsid w:val="00F829EF"/>
    <w:rsid w:val="00F853F6"/>
    <w:rsid w:val="00F9132C"/>
    <w:rsid w:val="00F93B82"/>
    <w:rsid w:val="00FA23D5"/>
    <w:rsid w:val="00FB41F1"/>
    <w:rsid w:val="00FB6B4D"/>
    <w:rsid w:val="00FB6E0B"/>
    <w:rsid w:val="00FB6E8C"/>
    <w:rsid w:val="00FB7C93"/>
    <w:rsid w:val="00FC0022"/>
    <w:rsid w:val="00FC0C3D"/>
    <w:rsid w:val="00FC4BB2"/>
    <w:rsid w:val="00FC6644"/>
    <w:rsid w:val="00FC75EB"/>
    <w:rsid w:val="00FD089D"/>
    <w:rsid w:val="00FD16CA"/>
    <w:rsid w:val="00FD3DDC"/>
    <w:rsid w:val="00FD5091"/>
    <w:rsid w:val="00FE2386"/>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976D68"/>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976D68"/>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4825C6"/>
    <w:rPr>
      <w:rFonts w:ascii="Tahoma" w:hAnsi="Tahoma"/>
      <w:sz w:val="16"/>
      <w:szCs w:val="16"/>
    </w:rPr>
  </w:style>
  <w:style w:type="character" w:customStyle="1" w:styleId="BalloonTextChar">
    <w:name w:val="Balloon Text Char"/>
    <w:basedOn w:val="DefaultParagraphFont"/>
    <w:link w:val="BalloonText"/>
    <w:uiPriority w:val="99"/>
    <w:locked/>
    <w:rsid w:val="004825C6"/>
    <w:rPr>
      <w:rFonts w:ascii="Tahoma" w:hAnsi="Tahoma"/>
      <w:sz w:val="16"/>
    </w:rPr>
  </w:style>
  <w:style w:type="paragraph" w:styleId="FootnoteText">
    <w:name w:val="footnote text"/>
    <w:basedOn w:val="Normal"/>
    <w:link w:val="FootnoteTextChar"/>
    <w:uiPriority w:val="99"/>
    <w:rsid w:val="005B01D6"/>
    <w:rPr>
      <w:sz w:val="20"/>
      <w:szCs w:val="20"/>
    </w:rPr>
  </w:style>
  <w:style w:type="character" w:customStyle="1" w:styleId="FootnoteTextChar">
    <w:name w:val="Footnote Text Char"/>
    <w:basedOn w:val="DefaultParagraphFont"/>
    <w:link w:val="FootnoteText"/>
    <w:uiPriority w:val="99"/>
    <w:locked/>
    <w:rsid w:val="005B01D6"/>
    <w:rPr>
      <w:rFonts w:cs="Times New Roman"/>
    </w:rPr>
  </w:style>
  <w:style w:type="character" w:styleId="FootnoteReference">
    <w:name w:val="footnote reference"/>
    <w:basedOn w:val="DefaultParagraphFont"/>
    <w:uiPriority w:val="99"/>
    <w:rsid w:val="005B01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81977662">
      <w:marLeft w:val="0"/>
      <w:marRight w:val="0"/>
      <w:marTop w:val="0"/>
      <w:marBottom w:val="0"/>
      <w:divBdr>
        <w:top w:val="none" w:sz="0" w:space="0" w:color="auto"/>
        <w:left w:val="none" w:sz="0" w:space="0" w:color="auto"/>
        <w:bottom w:val="none" w:sz="0" w:space="0" w:color="auto"/>
        <w:right w:val="none" w:sz="0" w:space="0" w:color="auto"/>
      </w:divBdr>
    </w:div>
    <w:div w:id="2081977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5958</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2017-04-27T12:07:00Z</cp:lastPrinted>
  <dcterms:created xsi:type="dcterms:W3CDTF">2017-04-28T11:38:00Z</dcterms:created>
  <dcterms:modified xsi:type="dcterms:W3CDTF">2017-04-28T11:38:00Z</dcterms:modified>
</cp:coreProperties>
</file>