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widowControl w:val="0"/>
        <w:ind/>
        <w:rPr>
          <w:sz w:val="26"/>
        </w:rPr>
      </w:pPr>
      <w:r>
        <w:rPr>
          <w:sz w:val="26"/>
        </w:rPr>
        <w:t xml:space="preserve">От 27.07.2019 № </w:t>
      </w:r>
      <w:r>
        <w:rPr>
          <w:sz w:val="26"/>
        </w:rPr>
        <w:t>24087-ВЖ/Д26и</w:t>
      </w:r>
    </w:p>
    <w:p w14:paraId="02000000">
      <w:pPr>
        <w:widowControl w:val="0"/>
        <w:ind/>
        <w:jc w:val="center"/>
        <w:rPr>
          <w:sz w:val="26"/>
        </w:rPr>
      </w:pPr>
    </w:p>
    <w:p w14:paraId="03000000">
      <w:pPr>
        <w:widowControl w:val="0"/>
        <w:ind/>
        <w:jc w:val="center"/>
        <w:rPr>
          <w:sz w:val="26"/>
        </w:rPr>
      </w:pPr>
    </w:p>
    <w:p w14:paraId="04000000">
      <w:pPr>
        <w:widowControl w:val="0"/>
        <w:ind/>
        <w:jc w:val="center"/>
        <w:rPr>
          <w:sz w:val="26"/>
        </w:rPr>
      </w:pPr>
      <w:r>
        <w:rPr>
          <w:sz w:val="26"/>
        </w:rPr>
        <w:t>ЗАКЛЮЧЕНИЕ</w:t>
      </w:r>
    </w:p>
    <w:p w14:paraId="05000000">
      <w:pPr>
        <w:widowControl w:val="0"/>
        <w:ind/>
        <w:jc w:val="center"/>
        <w:rPr>
          <w:sz w:val="26"/>
        </w:rPr>
      </w:pPr>
      <w:r>
        <w:rPr>
          <w:sz w:val="26"/>
        </w:rPr>
        <w:t>об оценке регулирующего воздействия</w:t>
      </w:r>
    </w:p>
    <w:p w14:paraId="06000000">
      <w:pPr>
        <w:ind/>
        <w:jc w:val="center"/>
        <w:rPr>
          <w:sz w:val="26"/>
        </w:rPr>
      </w:pPr>
      <w:r>
        <w:rPr>
          <w:sz w:val="26"/>
        </w:rPr>
        <w:t xml:space="preserve">проекта федерального закона </w:t>
      </w:r>
      <w:r>
        <w:rPr>
          <w:sz w:val="26"/>
        </w:rPr>
        <w:t>«О внесении изменений в Федеральный закон</w:t>
      </w:r>
    </w:p>
    <w:p w14:paraId="07000000">
      <w:pPr>
        <w:ind/>
        <w:jc w:val="center"/>
        <w:rPr>
          <w:sz w:val="26"/>
        </w:rPr>
      </w:pPr>
      <w:r>
        <w:rPr>
          <w:sz w:val="26"/>
        </w:rPr>
        <w:t xml:space="preserve"> «О качестве и безопасности пищевых продуктов» в части совершенствования правового регулирования вопросов обеспечения качества пищевой продукции»</w:t>
      </w:r>
    </w:p>
    <w:p w14:paraId="08000000">
      <w:pPr>
        <w:widowControl w:val="0"/>
        <w:spacing w:line="360" w:lineRule="auto"/>
        <w:ind/>
        <w:jc w:val="center"/>
        <w:rPr>
          <w:sz w:val="26"/>
        </w:rPr>
      </w:pPr>
    </w:p>
    <w:p w14:paraId="09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Минэкономразвития России в соответствии с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"consultantplus://offline/ref=49FBBEFCFA7B0B8FD98F35AF8BDEBB70ECEB9AA66CA4752EDA243CAE219CEB9F188FF60D373D9562B9X8I"</w:instrText>
      </w:r>
      <w:r>
        <w:rPr>
          <w:sz w:val="26"/>
        </w:rPr>
        <w:fldChar w:fldCharType="separate"/>
      </w:r>
      <w:r>
        <w:rPr>
          <w:sz w:val="26"/>
        </w:rPr>
        <w:t>пунктами 26</w:t>
      </w:r>
      <w:r>
        <w:rPr>
          <w:sz w:val="26"/>
        </w:rPr>
        <w:fldChar w:fldCharType="end"/>
      </w:r>
      <w:r>
        <w:rPr>
          <w:sz w:val="26"/>
        </w:rPr>
        <w:t xml:space="preserve">,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"consultantplus://offline/ref=49FBBEFCFA7B0B8FD98F35AF8BDEBB70ECEB9AA66CA4752EDA243CAE219CEB9F188FF60D373D9563B9X1I"</w:instrText>
      </w:r>
      <w:r>
        <w:rPr>
          <w:sz w:val="26"/>
        </w:rPr>
        <w:fldChar w:fldCharType="separate"/>
      </w:r>
      <w:r>
        <w:rPr>
          <w:sz w:val="26"/>
        </w:rPr>
        <w:t>27</w:t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"consultantplus://offline/ref=49FBBEFCFA7B0B8FD98F35AF8BDEBB70ECEB9AA66CA4752EDA243CAE219CEB9F188FF60D373D9460B9X4I"</w:instrText>
      </w:r>
      <w:r>
        <w:rPr>
          <w:sz w:val="26"/>
        </w:rPr>
        <w:fldChar w:fldCharType="separate"/>
      </w:r>
      <w:r>
        <w:rPr>
          <w:sz w:val="26"/>
        </w:rPr>
        <w:t>Правил</w:t>
      </w:r>
      <w:r>
        <w:rPr>
          <w:sz w:val="26"/>
        </w:rPr>
        <w:fldChar w:fldCharType="end"/>
      </w:r>
      <w:r>
        <w:rPr>
          <w:sz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проект федерального закона «</w:t>
      </w:r>
      <w:r>
        <w:rPr>
          <w:sz w:val="26"/>
        </w:rPr>
        <w:t xml:space="preserve">О внесении изменений в Федеральный закон «О качестве </w:t>
      </w:r>
      <w:r>
        <w:rPr>
          <w:sz w:val="26"/>
        </w:rPr>
        <w:br/>
      </w:r>
      <w:r>
        <w:rPr>
          <w:sz w:val="26"/>
        </w:rPr>
        <w:t xml:space="preserve">и безопасности пищевых продуктов» в части совершенствования правового регулирования вопросов обеспечения качества пищевой продукции» </w:t>
      </w:r>
      <w:r>
        <w:rPr>
          <w:sz w:val="26"/>
        </w:rPr>
        <w:t xml:space="preserve">(далее – проект акта), подготовленный и направленный для подготовки настоящего заключения </w:t>
      </w:r>
      <w:r>
        <w:rPr>
          <w:sz w:val="26"/>
        </w:rPr>
        <w:t>Роспотребнадзором</w:t>
      </w:r>
      <w:r>
        <w:rPr>
          <w:sz w:val="26"/>
        </w:rPr>
        <w:t xml:space="preserve"> (далее – разработчик), и сообщает следующее.</w:t>
      </w:r>
    </w:p>
    <w:p w14:paraId="0A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По информации, представленной разработчиком, проект акта подготовлен в целях реализации мер, предусмотренных Стратегией повышения качества пищевой продукции </w:t>
      </w:r>
      <w:r>
        <w:rPr>
          <w:sz w:val="26"/>
        </w:rPr>
        <w:br/>
      </w:r>
      <w:r>
        <w:rPr>
          <w:sz w:val="26"/>
        </w:rPr>
        <w:t xml:space="preserve">в Российской Федерации до 2030 года, утвержденной распоряжением Правительства Российской Федерации от 29 июня 2016 г. № 1364-р (далее – Стратегия), направлен </w:t>
      </w:r>
      <w:r>
        <w:rPr>
          <w:sz w:val="26"/>
        </w:rPr>
        <w:br/>
      </w:r>
      <w:r>
        <w:rPr>
          <w:sz w:val="26"/>
        </w:rPr>
        <w:t>на актуализацию нормативной базы в сфере обеспечения качества и безопасности пищевой продукции, а также гармонизацию норм национального законодательства с актами, составляющими  право Евразийского экономического союза.</w:t>
      </w:r>
    </w:p>
    <w:p w14:paraId="0B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>Проектом акта предусмотрено внесение изменений в Федеральный закон от 2 января 2000 г. № 29-ФЗ «О качестве и безопасности пищевых продуктов» (далее – Закон) в части уточнения понятийного аппарата, включая определение понятия «качество пищевой продукции», в том числе характеристик, его определяющих (безопасность, потребительские свойства, энергетическую и пищевую ценность, аутентичность и др.), и закрепления принципов здорового питания (пункт 1 Плана мероприятий по реализации Стратегии).</w:t>
      </w:r>
    </w:p>
    <w:p w14:paraId="0C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Проект акта направлен для подготовки заключения об оценке регулирующего воздействия повторно. Заключение об оценке регулирующего воздействия, содержащее замечания и предложения в отношении предлагаемого регулирования было направлено разработчику письмом Минэкономразвития России от 14 февраля 2019 г. № 3979-СШ/Д26и (далее – заключение об ОРВ). По замечаниям, изложенным в заключении об ОРВ, было проведено согласительное совещание 5 марта 2019 г. и составлена таблица разногласий, подписанные протокол согласительного совещания и таблица разногласий были направлены разработчику письмом Минэкономразвития России от 18 апреля 2019 г. </w:t>
      </w:r>
      <w:r>
        <w:rPr>
          <w:sz w:val="26"/>
        </w:rPr>
        <w:br/>
      </w:r>
      <w:r>
        <w:rPr>
          <w:sz w:val="26"/>
        </w:rPr>
        <w:t>№ 12109-СШ/Д26и. При доработке проекта акта замечания Минэкономразвития России разработчиком учтены не были.</w:t>
      </w:r>
    </w:p>
    <w:p w14:paraId="0D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По результатам рассмотрения установлено, что при подготовке проекта акта процедуры, предусмотренные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"consultantplus://offline/ref=CBA08EE99C2022DE71ADFECAE9577BE72075799551A3462E21629B24CE791004B53157828517DCA9T4fAP"</w:instrText>
      </w:r>
      <w:r>
        <w:rPr>
          <w:sz w:val="26"/>
        </w:rPr>
        <w:fldChar w:fldCharType="separate"/>
      </w:r>
      <w:r>
        <w:rPr>
          <w:sz w:val="26"/>
        </w:rPr>
        <w:t>пунктами 9</w:t>
      </w:r>
      <w:r>
        <w:rPr>
          <w:sz w:val="26"/>
        </w:rPr>
        <w:fldChar w:fldCharType="end"/>
      </w:r>
      <w:r>
        <w:rPr>
          <w:sz w:val="26"/>
        </w:rPr>
        <w:t xml:space="preserve"> –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"consultantplus://offline/ref=CBA08EE99C2022DE71ADFECAE9577BE72075799551A3462E21629B24CE791004B53157828517DDADT4fFP"</w:instrText>
      </w:r>
      <w:r>
        <w:rPr>
          <w:sz w:val="26"/>
        </w:rPr>
        <w:fldChar w:fldCharType="separate"/>
      </w:r>
      <w:r>
        <w:rPr>
          <w:sz w:val="26"/>
        </w:rPr>
        <w:t>23</w:t>
      </w:r>
      <w:r>
        <w:rPr>
          <w:sz w:val="26"/>
        </w:rPr>
        <w:fldChar w:fldCharType="end"/>
      </w:r>
      <w:r>
        <w:rPr>
          <w:sz w:val="26"/>
        </w:rPr>
        <w:t xml:space="preserve"> Правил проведения оценки регулирующего воздействия, разработчиком соблюдены. </w:t>
      </w:r>
    </w:p>
    <w:p w14:paraId="0E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Разработчиком проведены публичные обсуждения доработанного проекта акта </w:t>
      </w:r>
      <w:r>
        <w:rPr>
          <w:sz w:val="26"/>
        </w:rPr>
        <w:br/>
      </w:r>
      <w:r>
        <w:rPr>
          <w:sz w:val="26"/>
        </w:rPr>
        <w:t xml:space="preserve">и сводного отчета в срок с 26 июня по 4 июля 2019 г. Предложения, полученные в рамках проведения обсуждения проекта акта и сводного отчета, были прокомментированы разработчиком и включены в сводку замечаний и предложений по итогам размещения текста проекта. </w:t>
      </w:r>
    </w:p>
    <w:p w14:paraId="0F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>
        <w:rPr>
          <w:sz w:val="26"/>
        </w:rPr>
        <w:fldChar w:fldCharType="begin"/>
      </w:r>
      <w:r>
        <w:rPr>
          <w:sz w:val="26"/>
        </w:rPr>
        <w:instrText>HYPERLINK "http://regulation.gov.ru/project/28952.html"</w:instrText>
      </w:r>
      <w:r>
        <w:rPr>
          <w:sz w:val="26"/>
        </w:rPr>
        <w:fldChar w:fldCharType="separate"/>
      </w:r>
      <w:r>
        <w:rPr>
          <w:sz w:val="26"/>
        </w:rPr>
        <w:t>http://regulation.gov.ru</w:t>
      </w:r>
      <w:r>
        <w:rPr>
          <w:sz w:val="26"/>
        </w:rPr>
        <w:fldChar w:fldCharType="end"/>
      </w:r>
      <w:r>
        <w:rPr>
          <w:sz w:val="26"/>
        </w:rPr>
        <w:t xml:space="preserve"> (ID проекта акта 02/04/11-18/00086053).</w:t>
      </w:r>
    </w:p>
    <w:p w14:paraId="10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Исходя из того, что разработчиком не учтены замечания Минэкономразвития России, изложенные в </w:t>
      </w:r>
      <w:r>
        <w:rPr>
          <w:rFonts w:ascii="Times New Roman" w:hAnsi="Times New Roman"/>
          <w:sz w:val="26"/>
        </w:rPr>
        <w:t>заключении об ОРВ</w:t>
      </w:r>
      <w:r>
        <w:rPr>
          <w:rFonts w:ascii="Times New Roman" w:hAnsi="Times New Roman"/>
          <w:sz w:val="26"/>
        </w:rPr>
        <w:t xml:space="preserve">, они остаются актуальными в части избыточного закрепления в проекте акта понятий, установленных в технических регламентах Евразийского экономического союза: «О безопасности пищевой продукции» (TP ТС 021/2011), «О безопасности зерна» (TP ТС 015/2011), «О безопасности упаковки» (ТР ТС 005/2011), «Пищевая продукция в части ее маркировки» (ТР ТС 022/2011), «Технический регламент на соковую продукцию из фруктов и овощей» (ТР ТС 023/2011), «Технический регламент на масложировую продукцию» (ТР ТС 024/2011), «О безопасности отдельных видов специализированной пищевой продукции, в том числе диетического лечебного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и диетического профилактического питания» (ТР ТС 027/2012), «Требования безопасности пищевых добавок, </w:t>
      </w:r>
      <w:r>
        <w:rPr>
          <w:rFonts w:ascii="Times New Roman" w:hAnsi="Times New Roman"/>
          <w:sz w:val="26"/>
        </w:rPr>
        <w:t>ароматизаторов</w:t>
      </w:r>
      <w:r>
        <w:rPr>
          <w:rFonts w:ascii="Times New Roman" w:hAnsi="Times New Roman"/>
          <w:sz w:val="26"/>
        </w:rPr>
        <w:t xml:space="preserve"> и технологических вспомогательных средств» (ТР ТС 029/2012), «О безопасности молока и молочной продукции» (ТР ТС 033/2013),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«О безопасности мяса и мясной продукции» (ТР ТС 034/2013), «О безопасности рыбы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и рыбной продукции» (ТР ЕАЭС 040/2016), «О безопасности упакованной питьевой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воды, включая природную минеральную воду» (ТР ЕАЭС 044/2017), «О безопасности алкогольной продукции» (ТР ЕАЭС 047/2018). В соответствии с частью 2 статьи 52 Договора о Евразийском экономическом союзе (далее – Договор, Союз) технические регламенты Союза имеют прямое действие на территории Союза, и, следовательно, закрепление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 федеральном законе понятий, установленных в технических регламентах Союза,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не требуется.</w:t>
      </w:r>
    </w:p>
    <w:p w14:paraId="11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Также остается актуальным замечание о нецелесообразности включения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в проект акта положений, предлагающих установить обязательные требования в части маркировки, оценки соответствия, утилизации, производства и обращения пищевой продукции, уже установленных в указанных технических регламентах Союза.</w:t>
      </w:r>
    </w:p>
    <w:p w14:paraId="12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положениями статей 51, 52 и 53 Договора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в технических регламентах, применяются и исполняются в государствах-членах без изъятий. </w:t>
      </w:r>
    </w:p>
    <w:p w14:paraId="13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Обязательные требования к пищевой продукции не могут быть установлены иными нормативными документами. </w:t>
      </w:r>
    </w:p>
    <w:p w14:paraId="14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Предлагаемое в проекте акта разработчиками понятие «нормативные документы» представляет собой объединение совокупности технических регламентов Союза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и нормативных правовых актов Российской Федерации, содержащих обязательные требования к продукции и связанным с ней процессам. </w:t>
      </w:r>
    </w:p>
    <w:p w14:paraId="15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Считаем такое закрепление избыточным в проекте акта, поскольку частью 3 статьи 53 Договора о Евразийском экономическом союзе закреплено, что «обязательные требования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законодательством государств-членов или актами Комиссии, действуют только в части, определенной переходными положениями, и с даты завершения действия переходных положений, определенных техническим регламентом Союза и (или) актом Комиссии, не применяются для выпуска продукции в обращение, оценки соответствия объектов технического регулирования, государственного контроля (надзора) за соблюдением требований технических регламентов Союза». </w:t>
      </w:r>
    </w:p>
    <w:p w14:paraId="16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Следует отметить, что разработчик проекта акта предусматривает установление обязательных требований к указанной продукции иными документами.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 доработанной редакции проекта акта разработчик уточнил процедуру установления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новых требований к пищевой продукции. Проектируемым пунктом 2 статьи 9 Закона предлагается новый вид требований к пищевой продукции, «направленный на обеспечение сохранения и укрепления здоровья человека», устанавливаемый «в нормативных документах и правовых актах федеральным органом исполнительной власти, уполномоченным на разработку и утверждение федеральных санитарных правил»,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то есть </w:t>
      </w:r>
      <w:r>
        <w:rPr>
          <w:rFonts w:ascii="Times New Roman" w:hAnsi="Times New Roman"/>
          <w:sz w:val="26"/>
        </w:rPr>
        <w:t>Роспотребнадзором</w:t>
      </w:r>
      <w:r>
        <w:rPr>
          <w:rFonts w:ascii="Times New Roman" w:hAnsi="Times New Roman"/>
          <w:sz w:val="26"/>
        </w:rPr>
        <w:t xml:space="preserve">. </w:t>
      </w:r>
    </w:p>
    <w:p w14:paraId="17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Неясно, следует ли из данного положения, что </w:t>
      </w:r>
      <w:r>
        <w:rPr>
          <w:sz w:val="26"/>
        </w:rPr>
        <w:t>Роспотребнадзор</w:t>
      </w:r>
      <w:r>
        <w:rPr>
          <w:sz w:val="26"/>
        </w:rPr>
        <w:t xml:space="preserve">, минуя процедуру внесения изменений в технические регламенты Союза согласно установленной Порядком разработки, принятия, изменения и отмены технических регламентов Евразийского экономического союза, утвержденном решением Совета Евразийской экономической комиссии от 20 июня 2012 г. № 48, может «устанавливать» новые требования, </w:t>
      </w:r>
      <w:r>
        <w:rPr>
          <w:sz w:val="26"/>
        </w:rPr>
        <w:br/>
      </w:r>
      <w:r>
        <w:rPr>
          <w:sz w:val="26"/>
        </w:rPr>
        <w:t xml:space="preserve">не предусмотренные техническими регламентами. </w:t>
      </w:r>
    </w:p>
    <w:p w14:paraId="18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Данное положение противоречит положениям Договора, а также не учитывает,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что «нормативные документы» (исходя из определения, приводимого разработчиком)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не устанавливают показатели, направленные на укрепление здоровья человека.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Все обязательные требования, устанавливаемые техническими регламентами, направлены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на обеспечение безопасности пищевой продукции. </w:t>
      </w:r>
    </w:p>
    <w:p w14:paraId="19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Также пунктом 2 статьи 9 Закона проектируются меры «стимулирования правового, экономического и организационного характера» в отношении изготовителей пищевой продукции «с улучшенными потребительскими свойствами». При этом разработчик не поясняет понятие «улучшенные потребительские свойства» при заданном условии «соответствия национальным стандартам», а также не раскрывает суть «стимулирования правового, экономического и организационного характера». </w:t>
      </w:r>
    </w:p>
    <w:p w14:paraId="1A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Предлагаемая редакция указанного требования открывает путь к недобросовестной конкуренции. Предполагаемые правовые и экономические преференции для отдельных видов пищевой продукции содержат риск того, что в сфере обращения документов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на пищевые продукции появятся «двойные стандарты» на одну и ту же категорию продукта – стандарты на продукт и на продукт «с улучшенными потребительскими свойствами».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При этом понятие «улучшенные потребительские свойства» нигде законодательно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не закреплено, отсутствуют критерии «улучшенных потребительских свойств», неясно,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какие именно изменения показателей можно считать улучшением, какое процентное количественное изменение должно составлять улучшение. Проектируемое положение содержит риск возникновения конфликтных ситуаций между производителями продукции и органами государственного надзора. </w:t>
      </w:r>
    </w:p>
    <w:p w14:paraId="1B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Также обращаем внимание разработчика, что проектируемое положение не учитывает отсутствие обязательного свободного доступа потребителей к текстам стандартов организаций и отсутствие процедур публичного обсуждения проектов стандартов, устанавливающих требования к продукции. Полагаем целесообразным исключить указанное проектируемое положение.</w:t>
      </w:r>
    </w:p>
    <w:p w14:paraId="1C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Статьей 4 проекта акта предусматрива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тся наличие механизмов стимулирования производителей пищевой продукции за «обеспечение рациона здорового питания с оптимальным режимом питания», а также «обеспечивающей высокие вкусовые достоинства». При этом в проекте акта отсутствуют критерии «оптимального режима питания», «высоких вкусовых достоинств», не определен механизм реализации проектируемого положения. Таким образом, остается неясным, как производитель пищевой продукции должен обеспечить «оптимальный режим питания» потребителей и по каким критериям будут оцениваться «вкусовые достоинства», достойные стимулирования.</w:t>
      </w:r>
    </w:p>
    <w:p w14:paraId="1D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целям повышения качества и безопасности продукции в доработанной редакции проекта акта отнесено «нормирование обеспечения питанием в зависимости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возрастной категории лиц и их физиологических потребностей, состояния здоровья, показателей качества пищевой продукции». В предыдущей редакции проекта акта речь шла об обеспечении населения детским питанием в зависимости от возрастной категории детей.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Предполагаемая цель проекта акта в настоящей редакции представляется недостижимой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из-за отсутствия механизмов ее достижения – остается неясным, каким образом в масштабах страны может быть организовано нормирование обеспечения питанием лиц различных возрастных категорий в зависимости от состояния их здоровья.</w:t>
      </w:r>
    </w:p>
    <w:p w14:paraId="1E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Остаются актуальными замечания, изложенные в </w:t>
      </w:r>
      <w:r>
        <w:rPr>
          <w:rFonts w:ascii="Times New Roman" w:hAnsi="Times New Roman"/>
          <w:sz w:val="26"/>
        </w:rPr>
        <w:t>заключении об ОРВ</w:t>
      </w:r>
      <w:r>
        <w:rPr>
          <w:rFonts w:ascii="Times New Roman" w:hAnsi="Times New Roman"/>
          <w:sz w:val="26"/>
        </w:rPr>
        <w:t xml:space="preserve"> в части введения ряда понятий, которые либо недостаточно раскрыты, либо содержат в себе существенные противоречия.</w:t>
      </w:r>
    </w:p>
    <w:p w14:paraId="1F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Так, например, проектируемые понятия «аутентичность», «здоровое питание», «качество пищевой продукции» содержат риск неоднозначного толкования. </w:t>
      </w:r>
    </w:p>
    <w:p w14:paraId="20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Кроме того, в проект акта вводятся понятия, которые требуют дополнительного определения, так как не закреплены иными нормативными правовыми актами в сфере действия Закона.</w:t>
      </w:r>
    </w:p>
    <w:p w14:paraId="21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Например, в определении понятия «качество пищевой продукции – совокупность характеристик безопасной пищевой продукции, отвечающей требованиям нормативных документов и условиям договора (образцу и (или) иным техническим документам) определяющих ее потребительские свойства (пищевая ценность, аутентичность, сортность (калибр, категория и пр.), удовлетворяющие потребности человека в пище и при обычных условиях их использования, обеспечивающие сохранение и укрепление здоровья человека», практически все составляющие этого положения требуют пояснения и раскрытия. </w:t>
      </w:r>
    </w:p>
    <w:p w14:paraId="22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Так, остается неясным, каким условиям и какого именно договора должна отвечать пищевая продукция. Возможно, имеется в виду договор поставки. Вместе с тем условия договора поставки не обязаны соответствовать требованиям нормативных документов. </w:t>
      </w:r>
    </w:p>
    <w:p w14:paraId="23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ясно также о каком «образце» идет речь. На готовую пищевую продукцию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не существует стандартных образцов. </w:t>
      </w:r>
    </w:p>
    <w:p w14:paraId="24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 ясно, каким «иным техническим документам» должно соответствовать «качество пищевой продукции (одновременно обращаем внимание, что договор и образец не являются техническими документами). </w:t>
      </w:r>
    </w:p>
    <w:p w14:paraId="25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Остается неясным, какие характеристики пищевой продукции обеспечивают «укрепление здоровья человека». Разработчик в доработанной редакции проекта акта оставил данные понятия неизменными и в сопроводительных документах не дает пояснения выбору применяемого определения.</w:t>
      </w:r>
    </w:p>
    <w:p w14:paraId="26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Данное определение понятия не соответствует ни закрепленному Законом – «качество пищевых продуктов – совокупность характеристик пищевых продуктов, способных удовлетворять потребности человека в пище при обычных условиях их использования»,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ни приведенному в Стратегии повышения качества пищевой продукции – «качество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пищевой продукции – совокупность характеристик пищевой продукции, соответствующих заявленным требованиям и включающих ее безопасность, потребительские свойства, энергетическую и пищевую ценность, аутентичность, способность удовлетворять потребности человека в пище при обычных условиях использования в целях обеспечения сохранения здоровья человека».</w:t>
      </w:r>
    </w:p>
    <w:p w14:paraId="27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Указанные понятия требуют уточнения в части исключения положений, несущих риск неоднозначного толкования.</w:t>
      </w:r>
    </w:p>
    <w:p w14:paraId="28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Актуальными остаются замечания в части проектируемых положений Закона, направленных на регулирование образа жизни физических лиц: соответствие энергетической ценности рационов питания энергетическим затратам; сбалансированность рациона питания по всем незаменимым и заменимым пищевым факторам, включая белки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аминокислоты, жиры и жирные кислоты, витамины, минеральные вещества; максимальное разнообразие рациона питания; оптимальный режим питания.</w:t>
      </w:r>
    </w:p>
    <w:p w14:paraId="29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Повторно обращаем внимание разработчика, что указанные положения целесообразно регулировать в медицинских организациях, санаторно-курортных организациях, организациях социального обслуживания, организациях отдыха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оздоровления детей. Ни одно из перечисленных требований не может быть распространено на физических лиц и подлежать государственному контролю, поскольку распространяется на физических лиц, питающихся дома и самостоятельно определяющих свой рацион.</w:t>
      </w:r>
    </w:p>
    <w:p w14:paraId="2A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Полагаем, что предлагаемое регулирование выходит за рамки сферы действия Закона, регулирующего отношения в области обеспечения качества пищевых продуктов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их безопасности для здоровья человека.</w:t>
      </w:r>
    </w:p>
    <w:p w14:paraId="2B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доработанной редакции проекта акта разработчиком изменен ряд положений проектируемой статьи 12.1. Указанная статья предусматривает выдачу сертификата здоровья на экспортируемую пищевую продукцию в страны, законодательством которых предусмотрена необходимость их представления.</w:t>
      </w:r>
    </w:p>
    <w:p w14:paraId="2C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Остается неясным дополнение пункта первого указанной статьи исключением государств-членов Союза. Поскольку перемещение товаров по территории Союза регламентируется документами, составляющими право Союза, данное исключение представляется избыточным. </w:t>
      </w:r>
    </w:p>
    <w:p w14:paraId="2D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Также проектируемой статьей 12.1 в предыдущей редакции предполагалось,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что сертификат здоровья будет выдаваться на основании результатов государственной регистрации и оценки соответствия пищевой продукции, то есть на основании документов, подтверждающих безопасность пищевой продукции. Представленная редакция проекта акта предполагает, что при выдаче сертификатов здоровья учитываются имеющиеся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в распоряжении у </w:t>
      </w:r>
      <w:r>
        <w:rPr>
          <w:rFonts w:ascii="Times New Roman" w:hAnsi="Times New Roman"/>
          <w:sz w:val="26"/>
        </w:rPr>
        <w:t>Роспотребнадзора</w:t>
      </w:r>
      <w:r>
        <w:rPr>
          <w:rFonts w:ascii="Times New Roman" w:hAnsi="Times New Roman"/>
          <w:sz w:val="26"/>
        </w:rPr>
        <w:t xml:space="preserve"> «данные результатов государственного контроля (надзора) в области обеспечения качества и безопасности пищевых продуктов, материалов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и изделий, а также данные, содержащиеся в государственном информационном ресурсе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в области защиты прав потребителей, качества и безопасности товаров (работ, услуг)».</w:t>
      </w:r>
    </w:p>
    <w:p w14:paraId="2E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от 16 февраля 2013 г. № 129 «О государственном информационном ресурсе в области защиты прав потребителей», указанный ресурс содержит сведения о результатах проведенных в рамках федерального государственного надзора в области защиты прав потребителей проверок соответствия товаров, работ, услуг установленным в соответствии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в заблуждение,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предотвращение причинения вреда имуществу потребителей, а также иную информацию о проверках деятельности юридических лиц и индивидуальных предпринимателей. Однако данная информация не содержит конкретных сведений о безопасности и качестве конкретных партий пищевой продукции, направляемых зарубежному приобретателю данной продукции.</w:t>
      </w:r>
    </w:p>
    <w:p w14:paraId="2F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основании изложенного представляется, что </w:t>
      </w:r>
      <w:r>
        <w:rPr>
          <w:rFonts w:ascii="Times New Roman" w:hAnsi="Times New Roman"/>
          <w:sz w:val="26"/>
        </w:rPr>
        <w:t>Роспотребнадзор</w:t>
      </w:r>
      <w:r>
        <w:rPr>
          <w:rFonts w:ascii="Times New Roman" w:hAnsi="Times New Roman"/>
          <w:sz w:val="26"/>
        </w:rPr>
        <w:t xml:space="preserve"> предполагает осуществлять федеральный государственный контроль всего объема пищевой продукции, предназначенной для вывоза за рубеж. </w:t>
      </w:r>
    </w:p>
    <w:p w14:paraId="30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Поручением Правительства Российской Федерации от 3 июня 2019 г. № ДМ-П36-4534 федеральным органам исполнительной власти необходимо на период реализации механизма «регуляторной гильотины» не допускать установления новых требований, соблюдение которых подлежит проверке при осуществлении государственного контроля (надзора).</w:t>
      </w:r>
    </w:p>
    <w:p w14:paraId="31000000">
      <w:pPr>
        <w:pStyle w:val="Style_1"/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Можно сделать вывод, что статьей 12.1 проекта акта предлагается проводить тотальный контроль пищевой продукции, предназначенной для экспорта, что фактически является установлением новых требований. Указанное требование является избыточным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и подлежит исключению.</w:t>
      </w:r>
    </w:p>
    <w:p w14:paraId="32000000">
      <w:pPr>
        <w:pStyle w:val="Style_1"/>
        <w:numPr>
          <w:ilvl w:val="0"/>
          <w:numId w:val="1"/>
        </w:numPr>
        <w:spacing w:line="36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Считаем необходимым отметить, что необоснованным является предложение об исключении из статьи 13 Закона «Государственный надзор в области обеспечения качества и безопасности пищевых продуктов, материалов и изделий» государственного ветеринарного надзора, так как к пищевой продукции относятся в том числе продукты животного происхождения «в натуральном виде», которые могут нести риски заражения болезнями, общими для человека и животных. </w:t>
      </w:r>
    </w:p>
    <w:p w14:paraId="33000000">
      <w:pPr>
        <w:spacing w:line="360" w:lineRule="auto"/>
        <w:ind w:firstLine="709" w:left="0"/>
        <w:jc w:val="both"/>
        <w:rPr>
          <w:sz w:val="26"/>
        </w:rPr>
      </w:pPr>
      <w:r>
        <w:rPr>
          <w:sz w:val="26"/>
        </w:rPr>
        <w:t xml:space="preserve">На основе проведенной оценки регулирующего воздействия проекта акта Минэкономразвития России сделан вывод о недостаточном обосновании решения проблемы предложенным способом регулирования, а также сделан вывод, что проект акта </w:t>
      </w:r>
      <w:r>
        <w:rPr>
          <w:sz w:val="26"/>
        </w:rPr>
        <w:br/>
      </w:r>
      <w:r>
        <w:rPr>
          <w:sz w:val="26"/>
        </w:rPr>
        <w:t xml:space="preserve">содержит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</w:t>
      </w:r>
      <w:r>
        <w:rPr>
          <w:sz w:val="26"/>
        </w:rPr>
        <w:br/>
      </w:r>
      <w:r>
        <w:rPr>
          <w:sz w:val="26"/>
        </w:rPr>
        <w:t>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r>
        <w:rPr>
          <w:sz w:val="26"/>
        </w:rPr>
        <w:t xml:space="preserve"> </w:t>
      </w:r>
    </w:p>
    <w:p w14:paraId="34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1069"/>
      </w:pPr>
    </w:lvl>
    <w:lvl w:ilvl="1">
      <w:start w:val="1"/>
      <w:numFmt w:val="lowerLetter"/>
      <w:lvlText w:val="%2."/>
      <w:pPr>
        <w:ind w:hanging="360" w:left="1789"/>
      </w:pPr>
    </w:lvl>
    <w:lvl w:ilvl="2">
      <w:start w:val="1"/>
      <w:numFmt w:val="lowerRoman"/>
      <w:lvlText w:val="%3."/>
      <w:pPr>
        <w:ind w:hanging="180" w:left="2509"/>
      </w:pPr>
    </w:lvl>
    <w:lvl w:ilvl="3">
      <w:start w:val="1"/>
      <w:numFmt w:val="decimal"/>
      <w:lvlText w:val="%4."/>
      <w:pPr>
        <w:ind w:hanging="360" w:left="3229"/>
      </w:pPr>
    </w:lvl>
    <w:lvl w:ilvl="4">
      <w:start w:val="1"/>
      <w:numFmt w:val="lowerLetter"/>
      <w:lvlText w:val="%5."/>
      <w:pPr>
        <w:ind w:hanging="360" w:left="3949"/>
      </w:pPr>
    </w:lvl>
    <w:lvl w:ilvl="5">
      <w:start w:val="1"/>
      <w:numFmt w:val="lowerRoman"/>
      <w:lvlText w:val="%6."/>
      <w:pPr>
        <w:ind w:hanging="180" w:left="4669"/>
      </w:pPr>
    </w:lvl>
    <w:lvl w:ilvl="6">
      <w:start w:val="1"/>
      <w:numFmt w:val="decimal"/>
      <w:lvlText w:val="%7."/>
      <w:pPr>
        <w:ind w:hanging="360" w:left="5389"/>
      </w:pPr>
    </w:lvl>
    <w:lvl w:ilvl="7">
      <w:start w:val="1"/>
      <w:numFmt w:val="lowerLetter"/>
      <w:lvlText w:val="%8."/>
      <w:pPr>
        <w:ind w:hanging="360" w:left="6109"/>
      </w:pPr>
    </w:lvl>
    <w:lvl w:ilvl="8">
      <w:start w:val="1"/>
      <w:numFmt w:val="lowerRoman"/>
      <w:lvlText w:val="%9.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  <w:rPr>
      <w:rFonts w:ascii="Cambria" w:hAnsi="Cambria"/>
    </w:rPr>
  </w:style>
  <w:style w:styleId="Style_1_ch" w:type="character">
    <w:name w:val="List Paragraph"/>
    <w:basedOn w:val="Style_2_ch"/>
    <w:link w:val="Style_1"/>
    <w:rPr>
      <w:rFonts w:ascii="Cambria" w:hAnsi="Cambria"/>
    </w:rPr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