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C3" w:rsidRPr="000B49CC" w:rsidRDefault="00D075C3" w:rsidP="009B0E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9CC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D075C3" w:rsidRPr="000B49CC" w:rsidRDefault="00D075C3" w:rsidP="009B0E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9CC">
        <w:rPr>
          <w:rFonts w:ascii="Times New Roman" w:hAnsi="Times New Roman" w:cs="Times New Roman"/>
          <w:b/>
          <w:bCs/>
          <w:sz w:val="28"/>
          <w:szCs w:val="28"/>
        </w:rPr>
        <w:t>сводного отчета</w:t>
      </w:r>
    </w:p>
    <w:p w:rsidR="00D075C3" w:rsidRPr="000B49CC" w:rsidRDefault="00D075C3" w:rsidP="009B0E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9CC">
        <w:rPr>
          <w:rFonts w:ascii="Times New Roman" w:hAnsi="Times New Roman" w:cs="Times New Roman"/>
          <w:b/>
          <w:bCs/>
          <w:sz w:val="28"/>
          <w:szCs w:val="28"/>
        </w:rPr>
        <w:t>о проведении оценки регулирующего воздействия проекта акта</w:t>
      </w:r>
    </w:p>
    <w:p w:rsidR="00D075C3" w:rsidRPr="0072279F" w:rsidRDefault="00D075C3" w:rsidP="009B0E7B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79F">
        <w:rPr>
          <w:rFonts w:ascii="Times New Roman" w:hAnsi="Times New Roman" w:cs="Times New Roman"/>
          <w:b/>
          <w:bCs/>
          <w:sz w:val="28"/>
          <w:szCs w:val="28"/>
        </w:rPr>
        <w:t>с высокой степенью регулирующего воздействия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15"/>
        <w:gridCol w:w="1594"/>
        <w:gridCol w:w="5473"/>
      </w:tblGrid>
      <w:tr w:rsidR="00D075C3" w:rsidRPr="00B93CBB">
        <w:trPr>
          <w:trHeight w:val="158"/>
        </w:trPr>
        <w:tc>
          <w:tcPr>
            <w:tcW w:w="1692" w:type="pct"/>
            <w:vMerge w:val="restart"/>
          </w:tcPr>
          <w:tbl>
            <w:tblPr>
              <w:tblW w:w="5000" w:type="pct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322"/>
              <w:gridCol w:w="3067"/>
            </w:tblGrid>
            <w:tr w:rsidR="00D075C3" w:rsidRPr="00B93CBB"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5C3" w:rsidRPr="00B93CBB" w:rsidRDefault="00D075C3" w:rsidP="00B93C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B93CB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5C3" w:rsidRPr="00B93CBB" w:rsidRDefault="00D075C3" w:rsidP="00B93C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93CB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02/04/03-18/00079428</w:t>
                  </w:r>
                </w:p>
              </w:tc>
            </w:tr>
            <w:tr w:rsidR="00D075C3" w:rsidRPr="00B93CBB"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5C3" w:rsidRPr="00B93CBB" w:rsidRDefault="00D075C3" w:rsidP="00B93C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3CBB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D075C3" w:rsidRPr="00B93CBB" w:rsidRDefault="00D075C3" w:rsidP="00B93CBB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075C3" w:rsidRPr="00B93CBB">
        <w:trPr>
          <w:trHeight w:val="158"/>
        </w:trPr>
        <w:tc>
          <w:tcPr>
            <w:tcW w:w="0" w:type="auto"/>
            <w:vMerge/>
            <w:vAlign w:val="center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6" w:type="pct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28.03.2018</w:t>
            </w:r>
          </w:p>
        </w:tc>
      </w:tr>
      <w:tr w:rsidR="00D075C3" w:rsidRPr="00B93CBB">
        <w:trPr>
          <w:trHeight w:val="157"/>
        </w:trPr>
        <w:tc>
          <w:tcPr>
            <w:tcW w:w="0" w:type="auto"/>
            <w:vMerge/>
            <w:vAlign w:val="center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6" w:type="pct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B93CB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24.04.2018</w:t>
            </w:r>
          </w:p>
        </w:tc>
      </w:tr>
    </w:tbl>
    <w:p w:rsidR="00D075C3" w:rsidRPr="00012467" w:rsidRDefault="00D075C3" w:rsidP="009B0E7B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467">
        <w:rPr>
          <w:rFonts w:ascii="Times New Roman" w:hAnsi="Times New Roman" w:cs="Times New Roman"/>
          <w:b/>
          <w:bCs/>
          <w:sz w:val="28"/>
          <w:szCs w:val="28"/>
        </w:rPr>
        <w:t>1. Общая информация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5"/>
        <w:gridCol w:w="3619"/>
        <w:gridCol w:w="6198"/>
      </w:tblGrid>
      <w:tr w:rsidR="00D075C3" w:rsidRPr="00B93CBB">
        <w:tc>
          <w:tcPr>
            <w:tcW w:w="405" w:type="pct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Федеральная антимонопольная служба</w:t>
            </w:r>
          </w:p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D075C3" w:rsidRPr="00B93CBB">
        <w:tc>
          <w:tcPr>
            <w:tcW w:w="405" w:type="pct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D075C3" w:rsidRPr="00B93CBB">
        <w:tc>
          <w:tcPr>
            <w:tcW w:w="405" w:type="pct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«О внесении изменений в Федеральный закон «О защите конкуренции» и иные законодательные акты Российской Федерации»</w:t>
            </w:r>
          </w:p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D075C3" w:rsidRPr="00B93CBB">
        <w:tc>
          <w:tcPr>
            <w:tcW w:w="405" w:type="pct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В современных условиях отдельные стандартные категории антимонопольного регулирования не могут быть эффективно применены в условиях цифровых рынков</w:t>
            </w:r>
          </w:p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D075C3" w:rsidRPr="00B93CBB">
        <w:tc>
          <w:tcPr>
            <w:tcW w:w="405" w:type="pct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Инициативное</w:t>
            </w:r>
          </w:p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D075C3" w:rsidRPr="00B93CBB">
        <w:tc>
          <w:tcPr>
            <w:tcW w:w="405" w:type="pct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Эффективное применение антимонопольного регулирования</w:t>
            </w:r>
          </w:p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D075C3" w:rsidRPr="00B93CBB">
        <w:tc>
          <w:tcPr>
            <w:tcW w:w="405" w:type="pct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Разработан проект федерального закона «О внесении изменений в Федеральный закон «О защите конкуренции» и иные законодательные акты Российской Федерации»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D075C3" w:rsidRPr="00B93CBB">
        <w:tc>
          <w:tcPr>
            <w:tcW w:w="405" w:type="pct"/>
            <w:vMerge w:val="restart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Контактнаяинформацияисполнителяразработчика:</w:t>
            </w:r>
          </w:p>
        </w:tc>
      </w:tr>
      <w:tr w:rsidR="00D075C3" w:rsidRPr="00B93CBB">
        <w:tc>
          <w:tcPr>
            <w:tcW w:w="405" w:type="pct"/>
            <w:vMerge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Авшарян Альберт Каренович</w:t>
            </w:r>
          </w:p>
        </w:tc>
      </w:tr>
      <w:tr w:rsidR="00D075C3" w:rsidRPr="00B93CBB">
        <w:tc>
          <w:tcPr>
            <w:tcW w:w="405" w:type="pct"/>
            <w:vMerge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Начальникотдела</w:t>
            </w:r>
          </w:p>
        </w:tc>
      </w:tr>
      <w:tr w:rsidR="00D075C3" w:rsidRPr="00B93CBB">
        <w:trPr>
          <w:trHeight w:val="249"/>
        </w:trPr>
        <w:tc>
          <w:tcPr>
            <w:tcW w:w="405" w:type="pct"/>
            <w:vMerge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(499) 755-23-23</w:t>
            </w:r>
          </w:p>
        </w:tc>
      </w:tr>
      <w:tr w:rsidR="00D075C3" w:rsidRPr="00B93CBB">
        <w:trPr>
          <w:trHeight w:val="249"/>
        </w:trPr>
        <w:tc>
          <w:tcPr>
            <w:tcW w:w="405" w:type="pct"/>
            <w:vMerge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avsharyan@fas.gov.ru</w:t>
            </w:r>
          </w:p>
        </w:tc>
      </w:tr>
    </w:tbl>
    <w:p w:rsidR="00D075C3" w:rsidRPr="00E77370" w:rsidRDefault="00D075C3" w:rsidP="009B0E7B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370">
        <w:rPr>
          <w:rFonts w:ascii="Times New Roman" w:hAnsi="Times New Roman" w:cs="Times New Roman"/>
          <w:b/>
          <w:bCs/>
          <w:sz w:val="28"/>
          <w:szCs w:val="28"/>
        </w:rPr>
        <w:t>2. Степень регулирующего воздействия проекта акта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6"/>
        <w:gridCol w:w="4907"/>
        <w:gridCol w:w="4909"/>
      </w:tblGrid>
      <w:tr w:rsidR="00D075C3" w:rsidRPr="00B93CBB">
        <w:tc>
          <w:tcPr>
            <w:tcW w:w="405" w:type="pct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</w:p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(высокая / средняя / низкая)</w:t>
            </w:r>
          </w:p>
        </w:tc>
      </w:tr>
      <w:tr w:rsidR="00D075C3" w:rsidRPr="00B93CBB">
        <w:tc>
          <w:tcPr>
            <w:tcW w:w="405" w:type="pct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</w:t>
            </w:r>
            <w:r w:rsidRPr="00B93CBB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</w:t>
            </w:r>
          </w:p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D075C3" w:rsidRPr="00473026" w:rsidRDefault="00D075C3" w:rsidP="009B0E7B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026">
        <w:rPr>
          <w:rFonts w:ascii="Times New Roman" w:hAnsi="Times New Roman" w:cs="Times New Roman"/>
          <w:b/>
          <w:bCs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5"/>
        <w:gridCol w:w="9817"/>
      </w:tblGrid>
      <w:tr w:rsidR="00D075C3" w:rsidRPr="00B93CBB">
        <w:tc>
          <w:tcPr>
            <w:tcW w:w="405" w:type="pct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В современных условиях отдельные стандартные категории антимонопольного регулирования не могут быть эффективно применены в условиях цифровых рынков. В практике ФАС России все больше примеров того, как меняется структура современных рынков. В основе современной рыночной экономики решающую роль играют технологии (в первую очередь цифровые технологии), информация, цифровые и информационные платформы, интеллектуальная собственность. В антимонопольном законодательстве должны появиться правила, определяющие регулирование с учетом современных вызовов.</w:t>
            </w:r>
          </w:p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D075C3" w:rsidRPr="00B93CBB">
        <w:tc>
          <w:tcPr>
            <w:tcW w:w="405" w:type="pct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Злоупотребление доминирующим положением</w:t>
            </w:r>
          </w:p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D075C3" w:rsidRPr="00B93CBB">
        <w:tc>
          <w:tcPr>
            <w:tcW w:w="405" w:type="pct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В современных условиях отдельные стандартные категории антимонопольного регулирования не могут быть эффективно применены в условиях цифровых рынков. В практике ФАС России все больше примеров того, как меняется структура современных рынков. В основе современной рыночной экономики решающую роль играют технологии (в первую очередь цифровые технологии), информация, цифровые и информационные платформы, интеллектуальная собственность. В антимонопольном законодательстве должны появиться правила, определяющие регулирование с учетом современных вызовов. Должны появиться дополнительные критерии, позволяющие отнести к доминирующим субъектам владельцев крупных инфраструктурных платформ, интернет-платформ, которые обладают соответствующей рыночной властью. Должно появиться новое понятие «сетевой эффект» - зависимость потребительской ценности товара от количества пользователей одной и той же группы (прямой сетевой эффект) либо изменение ценности товара для одной группы пользователей при уменьшение или увеличении количества пользователей в другой группе (косвенный сетевой эффект). Еще один актуальный аспект для законодательных новелл — ценовые алгоритмы, которые анализируют рынки и подстраивают цену. В условиях, когда компании используют подобные алгоритмы для оптимизации взаимоотношений с конкурентами, следует говорить в том числе о формировании картельных сговоров. Кроме того, планируется закрепить дополнительные более жесткие требования, которые связаны с контролем сделок в рамках экономической концентрации, связанных, приобретение технологий или иных нематериальных активов. В первую очередь должно быть введено новое условие контроля сделок – если объем сделки превышает семь миллиардов рублей. Должны быть четко определены правила привлечения доверенных лиц для выполнения функций  по мониторингу и содействию исполнения предписания, выданного в рамках эконмической концентрации, в том числе в связи с передачей технологий. Должны быть определены жесткие последствия неисполнения предписания антимонопольного органа, в том числе в виде выдачи в судебном порядке принудительной лицензии на использования изобретения и запрета на оборот товара на территории Российской Федерации. С учетом современного состояния рынков должны быть исключены «иммунитеты» для применения антимонопольного законодательства в объектам интеллектуальной собственности.</w:t>
            </w:r>
          </w:p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D075C3" w:rsidRPr="00B93CBB">
        <w:tc>
          <w:tcPr>
            <w:tcW w:w="405" w:type="pct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Должны появиться дополнительные критерии, позволяющие отнести к доминирующим субъектам владельцев крупных инфраструктурных платформ, интернет-платформ, которые обладают соответствующей рыночной властью. Должно появиться новое понятие «сетевой эффект» - зависимость потребительской ценности товара от количества пользователей одной и той же группы (прямой сетевой эффект) либо изменение ценности товара для одной группы пользователей при уменьшение или увеличении количества пользователей в другой группе (косвенный сетевой эффект). Еще один актуальный аспект для законодательных новелл — ценовые алгоритмы, которые анализируют рынки и подстраивают цену. В условиях, когда компании используют подобные алгоритмы для оптимизации взаимоотношений с конкурентами, следует говорить в том числе о формировании картельных сговоров. Кроме того, планируется закрепить дополнительные более жесткие требования, которые связаны с контролем сделок в рамках экономической концентрации, связанных, приобретение технологий или иных нематериальных активов. В первую очередь должно быть введено новое условие контроля сделок – если объем сделки превышает семь миллиардов рублей. Должны быть четко определены правила привлечения доверенных лиц для выполнения функций  по мониторингу и содействию исполнения предписания, выданного в рамках эконмической концентрации, в том числе в связи с передачей технологий. Должны быть определены жесткие последствия неисполнения предписания антимонопольного органа, в том числе в виде выдачи в судебном порядке принудительной лицензии на использования изобретения и запрета на оборот товара на территории Российской Федерации. С учетом современного состояния рынков должны быть исключены «иммунитеты» для применения антимонопольного законодательства в объектам интеллектуальной собственности.</w:t>
            </w:r>
          </w:p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D075C3" w:rsidRPr="00B93CBB">
        <w:tc>
          <w:tcPr>
            <w:tcW w:w="405" w:type="pct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D075C3" w:rsidRPr="00B93CBB">
        <w:tc>
          <w:tcPr>
            <w:tcW w:w="405" w:type="pct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D075C3" w:rsidRPr="00473026" w:rsidRDefault="00D075C3" w:rsidP="009B0E7B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026">
        <w:rPr>
          <w:rFonts w:ascii="Times New Roman" w:hAnsi="Times New Roman" w:cs="Times New Roman"/>
          <w:b/>
          <w:bCs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5"/>
        <w:gridCol w:w="9817"/>
      </w:tblGrid>
      <w:tr w:rsidR="00D075C3" w:rsidRPr="00B93CBB">
        <w:tc>
          <w:tcPr>
            <w:tcW w:w="405" w:type="pct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D075C3" w:rsidRPr="00B93CBB">
        <w:tc>
          <w:tcPr>
            <w:tcW w:w="405" w:type="pct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D075C3" w:rsidRPr="00473026" w:rsidRDefault="00D075C3" w:rsidP="009B0E7B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B2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7302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53EAD">
        <w:rPr>
          <w:rFonts w:ascii="Times New Roman" w:hAnsi="Times New Roman" w:cs="Times New Roman"/>
          <w:b/>
          <w:bCs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9"/>
        <w:gridCol w:w="6062"/>
        <w:gridCol w:w="636"/>
        <w:gridCol w:w="2735"/>
      </w:tblGrid>
      <w:tr w:rsidR="00D075C3" w:rsidRPr="00B93CBB">
        <w:trPr>
          <w:trHeight w:val="55"/>
        </w:trPr>
        <w:tc>
          <w:tcPr>
            <w:tcW w:w="405" w:type="pct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075C3" w:rsidRPr="00B93CBB">
        <w:trPr>
          <w:trHeight w:val="52"/>
        </w:trPr>
        <w:tc>
          <w:tcPr>
            <w:tcW w:w="2370" w:type="pct"/>
            <w:gridSpan w:val="2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Эффективноеприменениеантимонопольногорегулирования</w:t>
            </w:r>
          </w:p>
        </w:tc>
        <w:tc>
          <w:tcPr>
            <w:tcW w:w="2630" w:type="pct"/>
            <w:gridSpan w:val="2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075C3" w:rsidRPr="00B93CBB">
        <w:tc>
          <w:tcPr>
            <w:tcW w:w="405" w:type="pct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Должны появиться дополнительные критерии, позволяющие отнести к доминирующим субъектам владельцев крупных инфраструктурных платформ, интернет-платформ, которые обладают соответствующей рыночной властью. Должно появиться новое понятие «сетевой эффект» - зависимость потребительской ценности товара от количества пользователей одной и той же группы (прямой сетевой эффект) либо изменение ценности товара для одной группы пользователей при уменьшение или увеличении количества пользователей в другой группе (косвенный сетевой эффект). Еще один актуальный аспект для законодательных новелл — ценовые алгоритмы, которые анализируют рынки и подстраивают цену. В условиях, когда компании используют подобные алгоритмы для оптимизации взаимоотношений с конкурентами, следует говорить в том числе о формировании картельных сговоров. Кроме того, планируется закрепить дополнительные более жесткие требования, которые связаны с контролем сделок в рамках экономической концентрации, связанных, приобретение технологий или иных нематериальных активов. В первую очередь должно быть введено новое условие контроля сделок – если объем сделки превышает семь миллиардов рублей. Должны быть четко определены правила привлечения доверенных лиц для выполнения функций  по мониторингу и содействию исполнения предписания, выданного в рамках эконмической концентрации, в том числе в связи с передачей технологий. Должны быть определены жесткие последствия неисполнения предписания антимонопольного органа, в том числе в виде выдачи в судебном порядке принудительной лицензии на использования изобретения и запрета на оборот товара на территории Российской Федерации. С учетом современного состояния рынков должны быть исключены «иммунитеты» для применения антимонопольного законодательства в объектам интеллектуальной собственности.</w:t>
            </w:r>
          </w:p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D075C3" w:rsidRPr="00B93CBB">
        <w:tc>
          <w:tcPr>
            <w:tcW w:w="405" w:type="pct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D075C3" w:rsidRPr="00473026" w:rsidRDefault="00D075C3" w:rsidP="009B0E7B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F0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F30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5"/>
        <w:gridCol w:w="9817"/>
      </w:tblGrid>
      <w:tr w:rsidR="00D075C3" w:rsidRPr="00B93CBB">
        <w:tc>
          <w:tcPr>
            <w:tcW w:w="405" w:type="pct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Должны появиться дополнительные критерии, позволяющие отнести к доминирующим субъектам владельцев крупных инфраструктурных платформ, интернет-платформ, которые обладают соответствующей рыночной властью. Должно появиться новое понятие «сетевой эффект» - зависимость потребительской ценности товара от количества пользователей одной и той же группы (прямой сетевой эффект) либо изменение ценности товара для одной группы пользователей при уменьшение или увеличении количества пользователей в другой группе (косвенный сетевой эффект). Еще один актуальный аспект для законодательных новелл — ценовые алгоритмы, которые анализируют рынки и подстраивают цену. В условиях, когда компании используют подобные алгоритмы для оптимизации взаимоотношений с конкурентами, следует говорить в том числе о формировании картельных сговоров. Кроме того, планируется закрепить дополнительные более жесткие требования, которые связаны с контролем сделок в рамках экономической концентрации, связанных, приобретение технологий или иных нематериальных активов. В первую очередь должно быть введено новое условие контроля сделок – если объем сделки превышает семь миллиардов рублей. Должны быть четко определены правила привлечения доверенных лиц для выполнения функций  по мониторингу и содействию исполнения предписания, выданного в рамках эконмической концентрации, в том числе в связи с передачей технологий. Должны быть определены жесткие последствия неисполнения предписания антимонопольного органа, в том числе в виде выдачи в судебном порядке принудительной лицензии на использования изобретения и запрета на оборот товара на территории Российской Федерации. С учетом современного состояния рынков должны быть исключены «иммунитеты» для применения антимонопольного законодательства в объектам интеллектуальной собственности.</w:t>
            </w:r>
          </w:p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D075C3" w:rsidRPr="00B93CBB">
        <w:tc>
          <w:tcPr>
            <w:tcW w:w="405" w:type="pct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D075C3" w:rsidRPr="00B93CBB">
        <w:tc>
          <w:tcPr>
            <w:tcW w:w="405" w:type="pct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В современных условиях отдельные стандартные категории антимонопольного регулирования не могут быть эффективно применены в условиях цифровых рынков. В практике ФАС России все больше примеров того, как меняется структура современных рынков.</w:t>
            </w:r>
          </w:p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D075C3" w:rsidRPr="00B93CBB">
        <w:tc>
          <w:tcPr>
            <w:tcW w:w="405" w:type="pct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D075C3" w:rsidRPr="00473026" w:rsidRDefault="00D075C3" w:rsidP="009B0E7B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7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5"/>
        <w:gridCol w:w="4198"/>
        <w:gridCol w:w="870"/>
        <w:gridCol w:w="4749"/>
      </w:tblGrid>
      <w:tr w:rsidR="00D075C3" w:rsidRPr="00B93CBB">
        <w:trPr>
          <w:trHeight w:val="55"/>
        </w:trPr>
        <w:tc>
          <w:tcPr>
            <w:tcW w:w="405" w:type="pct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07" w:type="pct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D075C3" w:rsidRPr="00B93CBB">
        <w:trPr>
          <w:trHeight w:val="52"/>
        </w:trPr>
        <w:tc>
          <w:tcPr>
            <w:tcW w:w="5000" w:type="pct"/>
            <w:gridSpan w:val="4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D075C3" w:rsidRPr="00B93CBB">
        <w:trPr>
          <w:trHeight w:val="52"/>
        </w:trPr>
        <w:tc>
          <w:tcPr>
            <w:tcW w:w="2370" w:type="pct"/>
            <w:gridSpan w:val="2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1.Хозяйствующие субъекты, владеющие цифровой платформой, в случае, если такая цифровая платформа занимает долю более чем 35 процентов на рынке взаимозаменяемых услуг, оказываемых с использованием цифровых платформ, связанных с обеспечением взаимодействия хозяйствующих субъектов-продавцов и покупателей и владеющих цифровой платформой или несколькими сходными (взаимозаменяемыми) цифровыми платформами, выручка от деятельности которой (которых) за последний календарный год превышает 400 миллионов рублей;</w:t>
            </w:r>
          </w:p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2. Хозяйствующие субъекты, совершающие сделки по преобретению акций (долей), права и (или) имущества, если цена такой сделки превышает семь миллиардов рублей</w:t>
            </w:r>
          </w:p>
        </w:tc>
        <w:tc>
          <w:tcPr>
            <w:tcW w:w="2630" w:type="pct"/>
            <w:gridSpan w:val="2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Неограниченный круг лиц</w:t>
            </w:r>
          </w:p>
        </w:tc>
      </w:tr>
      <w:tr w:rsidR="00D075C3" w:rsidRPr="00B93CBB">
        <w:trPr>
          <w:trHeight w:val="31"/>
        </w:trPr>
        <w:tc>
          <w:tcPr>
            <w:tcW w:w="5000" w:type="pct"/>
            <w:gridSpan w:val="4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075C3" w:rsidRPr="00B93CBB">
        <w:trPr>
          <w:trHeight w:val="31"/>
        </w:trPr>
        <w:tc>
          <w:tcPr>
            <w:tcW w:w="2370" w:type="pct"/>
            <w:gridSpan w:val="2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630" w:type="pct"/>
            <w:gridSpan w:val="2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075C3" w:rsidRPr="00B93CBB">
        <w:tc>
          <w:tcPr>
            <w:tcW w:w="405" w:type="pct"/>
          </w:tcPr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4595" w:type="pct"/>
            <w:gridSpan w:val="3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075C3" w:rsidRPr="00B93CBB" w:rsidRDefault="00D075C3" w:rsidP="00B93CB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D075C3" w:rsidRDefault="00D075C3" w:rsidP="009B0E7B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75C3" w:rsidRPr="00E919DF" w:rsidRDefault="00D075C3" w:rsidP="009B0E7B">
      <w:pPr>
        <w:keepNext/>
        <w:spacing w:after="0" w:line="240" w:lineRule="auto"/>
        <w:ind w:left="851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25B00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7.1. Анализ влияния социально-экономических последствий реализации проекта акта на деятельность субъектов малого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и среднего предпринимательства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04"/>
        <w:gridCol w:w="864"/>
        <w:gridCol w:w="1015"/>
        <w:gridCol w:w="1384"/>
        <w:gridCol w:w="58"/>
        <w:gridCol w:w="437"/>
        <w:gridCol w:w="2620"/>
      </w:tblGrid>
      <w:tr w:rsidR="00D075C3" w:rsidRPr="00B93CBB">
        <w:trPr>
          <w:trHeight w:val="1407"/>
        </w:trPr>
        <w:tc>
          <w:tcPr>
            <w:tcW w:w="5057" w:type="dxa"/>
            <w:gridSpan w:val="2"/>
          </w:tcPr>
          <w:p w:rsidR="00D075C3" w:rsidRPr="00385CB1" w:rsidRDefault="00D075C3" w:rsidP="002A57D1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7.1.1.</w:t>
            </w:r>
          </w:p>
          <w:p w:rsidR="00D075C3" w:rsidRPr="00551959" w:rsidRDefault="00D075C3" w:rsidP="00D050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hAnsi="Times New Roman" w:cs="Times New Roman"/>
                <w:sz w:val="28"/>
                <w:szCs w:val="28"/>
              </w:rPr>
              <w:t xml:space="preserve">Оценка структуры регулируемых субъектов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категориям</w:t>
            </w:r>
          </w:p>
        </w:tc>
        <w:tc>
          <w:tcPr>
            <w:tcW w:w="2406" w:type="dxa"/>
            <w:gridSpan w:val="3"/>
            <w:vAlign w:val="center"/>
          </w:tcPr>
          <w:p w:rsidR="00D075C3" w:rsidRPr="00385CB1" w:rsidRDefault="00D075C3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vAlign w:val="center"/>
          </w:tcPr>
          <w:p w:rsidR="00D075C3" w:rsidRDefault="00D075C3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</w:t>
            </w:r>
          </w:p>
          <w:p w:rsidR="00D075C3" w:rsidRPr="00385CB1" w:rsidRDefault="00D075C3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D075C3" w:rsidRPr="00B93CBB">
        <w:trPr>
          <w:trHeight w:val="494"/>
        </w:trPr>
        <w:tc>
          <w:tcPr>
            <w:tcW w:w="5057" w:type="dxa"/>
            <w:gridSpan w:val="2"/>
            <w:vAlign w:val="center"/>
          </w:tcPr>
          <w:p w:rsidR="00D075C3" w:rsidRPr="00385CB1" w:rsidRDefault="00D075C3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</w:rPr>
              <w:t>Микропредприятия</w:t>
            </w:r>
          </w:p>
        </w:tc>
        <w:tc>
          <w:tcPr>
            <w:tcW w:w="2406" w:type="dxa"/>
            <w:gridSpan w:val="3"/>
            <w:vAlign w:val="center"/>
          </w:tcPr>
          <w:p w:rsidR="00D075C3" w:rsidRPr="00385CB1" w:rsidRDefault="00D075C3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2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2993" w:type="dxa"/>
            <w:gridSpan w:val="2"/>
            <w:vAlign w:val="center"/>
          </w:tcPr>
          <w:p w:rsidR="00D075C3" w:rsidRPr="00385CB1" w:rsidRDefault="00D075C3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2"/>
                <w:sz w:val="28"/>
                <w:szCs w:val="28"/>
                <w:lang w:val="en-US"/>
              </w:rPr>
              <w:t>Отсутствует</w:t>
            </w:r>
          </w:p>
        </w:tc>
      </w:tr>
      <w:tr w:rsidR="00D075C3" w:rsidRPr="00B93CBB">
        <w:trPr>
          <w:trHeight w:val="560"/>
        </w:trPr>
        <w:tc>
          <w:tcPr>
            <w:tcW w:w="5057" w:type="dxa"/>
            <w:gridSpan w:val="2"/>
            <w:vAlign w:val="center"/>
          </w:tcPr>
          <w:p w:rsidR="00D075C3" w:rsidRPr="00385CB1" w:rsidRDefault="00D075C3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vAlign w:val="center"/>
          </w:tcPr>
          <w:p w:rsidR="00D075C3" w:rsidRPr="00385CB1" w:rsidRDefault="00D075C3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2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2993" w:type="dxa"/>
            <w:gridSpan w:val="2"/>
            <w:vAlign w:val="center"/>
          </w:tcPr>
          <w:p w:rsidR="00D075C3" w:rsidRPr="00385CB1" w:rsidRDefault="00D075C3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2"/>
                <w:sz w:val="28"/>
                <w:szCs w:val="28"/>
                <w:lang w:val="en-US"/>
              </w:rPr>
              <w:t>Отсутствует</w:t>
            </w:r>
          </w:p>
        </w:tc>
      </w:tr>
      <w:tr w:rsidR="00D075C3" w:rsidRPr="00B93CBB">
        <w:trPr>
          <w:trHeight w:val="554"/>
        </w:trPr>
        <w:tc>
          <w:tcPr>
            <w:tcW w:w="5057" w:type="dxa"/>
            <w:gridSpan w:val="2"/>
            <w:vAlign w:val="center"/>
          </w:tcPr>
          <w:p w:rsidR="00D075C3" w:rsidRPr="00385CB1" w:rsidRDefault="00D075C3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vAlign w:val="center"/>
          </w:tcPr>
          <w:p w:rsidR="00D075C3" w:rsidRPr="00385CB1" w:rsidRDefault="00D075C3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2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2993" w:type="dxa"/>
            <w:gridSpan w:val="2"/>
            <w:vAlign w:val="center"/>
          </w:tcPr>
          <w:p w:rsidR="00D075C3" w:rsidRPr="00385CB1" w:rsidRDefault="00D075C3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2"/>
                <w:sz w:val="28"/>
                <w:szCs w:val="28"/>
                <w:lang w:val="en-US"/>
              </w:rPr>
              <w:t>Отсутствует</w:t>
            </w:r>
          </w:p>
        </w:tc>
      </w:tr>
      <w:tr w:rsidR="00D075C3" w:rsidRPr="00B93CBB">
        <w:trPr>
          <w:trHeight w:val="548"/>
        </w:trPr>
        <w:tc>
          <w:tcPr>
            <w:tcW w:w="5057" w:type="dxa"/>
            <w:gridSpan w:val="2"/>
            <w:vAlign w:val="center"/>
          </w:tcPr>
          <w:p w:rsidR="00D075C3" w:rsidRPr="00385CB1" w:rsidRDefault="00D075C3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vAlign w:val="center"/>
          </w:tcPr>
          <w:p w:rsidR="00D075C3" w:rsidRPr="00385CB1" w:rsidRDefault="00D075C3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2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2993" w:type="dxa"/>
            <w:gridSpan w:val="2"/>
            <w:vAlign w:val="center"/>
          </w:tcPr>
          <w:p w:rsidR="00D075C3" w:rsidRPr="00385CB1" w:rsidRDefault="00D075C3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2"/>
                <w:sz w:val="28"/>
                <w:szCs w:val="28"/>
                <w:lang w:val="en-US"/>
              </w:rPr>
              <w:t>Отсутствует</w:t>
            </w:r>
          </w:p>
        </w:tc>
      </w:tr>
      <w:tr w:rsidR="00D075C3" w:rsidRPr="00B93CBB">
        <w:trPr>
          <w:trHeight w:val="548"/>
        </w:trPr>
        <w:tc>
          <w:tcPr>
            <w:tcW w:w="10456" w:type="dxa"/>
            <w:gridSpan w:val="7"/>
            <w:vAlign w:val="center"/>
          </w:tcPr>
          <w:p w:rsidR="00D075C3" w:rsidRPr="0019212D" w:rsidRDefault="00D075C3" w:rsidP="00EC5E21">
            <w:pPr>
              <w:pStyle w:val="Title"/>
              <w:spacing w:before="120"/>
              <w:ind w:left="0" w:firstLine="0"/>
              <w:jc w:val="left"/>
            </w:pPr>
            <w:r>
              <w:t xml:space="preserve">7.1.2. Источники </w:t>
            </w:r>
            <w:r w:rsidRPr="00A1076A">
              <w:t>данных:</w:t>
            </w:r>
            <w:r w:rsidRPr="00D652BD">
              <w:t>Отсутствует</w:t>
            </w:r>
          </w:p>
          <w:p w:rsidR="00D075C3" w:rsidRPr="00385CB1" w:rsidRDefault="00D075C3" w:rsidP="00365D61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(место для текстового описания)</w:t>
            </w:r>
          </w:p>
        </w:tc>
      </w:tr>
      <w:tr w:rsidR="00D075C3" w:rsidRPr="00B93CBB">
        <w:trPr>
          <w:trHeight w:val="2010"/>
        </w:trPr>
        <w:tc>
          <w:tcPr>
            <w:tcW w:w="10456" w:type="dxa"/>
            <w:gridSpan w:val="7"/>
          </w:tcPr>
          <w:p w:rsidR="00D075C3" w:rsidRPr="00385CB1" w:rsidRDefault="00D075C3" w:rsidP="002A57D1">
            <w:pPr>
              <w:spacing w:before="120" w:after="120"/>
              <w:jc w:val="both"/>
              <w:rPr>
                <w:vertAlign w:val="superscript"/>
              </w:rPr>
            </w:pPr>
            <w:r>
              <w:rPr>
                <w:rFonts w:ascii="Times New Roman" w:hAnsi="Times New Roman" w:cs="Times New Roman"/>
                <w:kern w:val="32"/>
                <w:sz w:val="28"/>
                <w:szCs w:val="28"/>
              </w:rPr>
              <w:t>7.1.3.</w:t>
            </w:r>
            <w:r>
              <w:rPr>
                <w:rFonts w:ascii="Times New Roman" w:hAnsi="Times New Roman" w:cs="Times New Roman"/>
                <w:kern w:val="32"/>
                <w:sz w:val="28"/>
                <w:szCs w:val="28"/>
              </w:rPr>
              <w:tab/>
            </w:r>
            <w:r w:rsidRPr="00385CB1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>
              <w:rPr>
                <w:rStyle w:val="FootnoteReference"/>
                <w:rFonts w:ascii="Times New Roman" w:hAnsi="Times New Roman" w:cs="Times New Roman"/>
                <w:kern w:val="32"/>
                <w:sz w:val="28"/>
                <w:szCs w:val="28"/>
              </w:rPr>
              <w:footnoteReference w:id="3"/>
            </w:r>
          </w:p>
          <w:p w:rsidR="00D075C3" w:rsidRPr="00385CB1" w:rsidRDefault="00D075C3" w:rsidP="009B0E7B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D652BD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Отсутствует</w:t>
            </w:r>
          </w:p>
          <w:p w:rsidR="00D075C3" w:rsidRPr="00385CB1" w:rsidRDefault="00D075C3" w:rsidP="009B0E7B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</w:rPr>
            </w:pPr>
            <w:r w:rsidRPr="00385CB1"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D075C3" w:rsidRPr="00B93CBB">
        <w:trPr>
          <w:trHeight w:val="529"/>
        </w:trPr>
        <w:tc>
          <w:tcPr>
            <w:tcW w:w="5057" w:type="dxa"/>
            <w:gridSpan w:val="2"/>
            <w:vMerge w:val="restart"/>
          </w:tcPr>
          <w:p w:rsidR="00D075C3" w:rsidRPr="002A57D1" w:rsidRDefault="00D075C3" w:rsidP="009B0E7B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2"/>
                <w:sz w:val="28"/>
                <w:szCs w:val="28"/>
              </w:rPr>
              <w:t>7.1.4.</w:t>
            </w:r>
          </w:p>
          <w:p w:rsidR="00D075C3" w:rsidRDefault="00D075C3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124502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399" w:type="dxa"/>
            <w:gridSpan w:val="5"/>
          </w:tcPr>
          <w:p w:rsidR="00D075C3" w:rsidRPr="00891BF4" w:rsidRDefault="00D075C3" w:rsidP="002A57D1">
            <w:pPr>
              <w:spacing w:before="120" w:after="12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7.1.5.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91BF4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D075C3" w:rsidRPr="00B93CBB">
        <w:trPr>
          <w:trHeight w:val="652"/>
        </w:trPr>
        <w:tc>
          <w:tcPr>
            <w:tcW w:w="5057" w:type="dxa"/>
            <w:gridSpan w:val="2"/>
            <w:vMerge/>
          </w:tcPr>
          <w:p w:rsidR="00D075C3" w:rsidRPr="00385CB1" w:rsidRDefault="00D075C3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D075C3" w:rsidRPr="00D63497" w:rsidRDefault="00D075C3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</w:rPr>
            </w:pPr>
            <w:r w:rsidRPr="00385CB1"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vAlign w:val="center"/>
          </w:tcPr>
          <w:p w:rsidR="00D075C3" w:rsidRPr="00385CB1" w:rsidRDefault="00D075C3" w:rsidP="009B0E7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D075C3" w:rsidRPr="00B93CBB">
        <w:trPr>
          <w:trHeight w:val="378"/>
        </w:trPr>
        <w:tc>
          <w:tcPr>
            <w:tcW w:w="10456" w:type="dxa"/>
            <w:gridSpan w:val="7"/>
          </w:tcPr>
          <w:p w:rsidR="00D075C3" w:rsidRPr="00385CB1" w:rsidRDefault="00D075C3" w:rsidP="00C86CD0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385CB1">
              <w:rPr>
                <w:rFonts w:ascii="Times New Roman" w:hAnsi="Times New Roman" w:cs="Times New Roman"/>
                <w:kern w:val="32"/>
                <w:sz w:val="28"/>
                <w:szCs w:val="28"/>
              </w:rPr>
              <w:t>Содержательные издержки</w:t>
            </w:r>
            <w:r>
              <w:rPr>
                <w:rStyle w:val="FootnoteReference"/>
                <w:rFonts w:ascii="Times New Roman" w:hAnsi="Times New Roman" w:cs="Times New Roman"/>
                <w:kern w:val="32"/>
                <w:sz w:val="28"/>
                <w:szCs w:val="28"/>
              </w:rPr>
              <w:footnoteReference w:id="4"/>
            </w:r>
          </w:p>
        </w:tc>
      </w:tr>
      <w:tr w:rsidR="00D075C3" w:rsidRPr="00B93CBB">
        <w:trPr>
          <w:trHeight w:val="514"/>
        </w:trPr>
        <w:tc>
          <w:tcPr>
            <w:tcW w:w="5057" w:type="dxa"/>
            <w:gridSpan w:val="2"/>
            <w:vAlign w:val="center"/>
          </w:tcPr>
          <w:p w:rsidR="00D075C3" w:rsidRPr="00B93CBB" w:rsidRDefault="00D075C3" w:rsidP="009157D2">
            <w:r w:rsidRPr="00B93CBB">
              <w:t>Отсутствует</w:t>
            </w:r>
          </w:p>
        </w:tc>
        <w:tc>
          <w:tcPr>
            <w:tcW w:w="2406" w:type="dxa"/>
            <w:gridSpan w:val="3"/>
            <w:vAlign w:val="center"/>
          </w:tcPr>
          <w:p w:rsidR="00D075C3" w:rsidRPr="00B93CBB" w:rsidRDefault="00D075C3" w:rsidP="009157D2">
            <w:r w:rsidRPr="00B93CBB">
              <w:t>Отсутствует</w:t>
            </w:r>
          </w:p>
        </w:tc>
        <w:tc>
          <w:tcPr>
            <w:tcW w:w="2993" w:type="dxa"/>
            <w:gridSpan w:val="2"/>
            <w:vAlign w:val="center"/>
          </w:tcPr>
          <w:p w:rsidR="00D075C3" w:rsidRPr="00B93CBB" w:rsidRDefault="00D075C3" w:rsidP="009157D2">
            <w:r w:rsidRPr="00B93CBB">
              <w:t>Отсутствует</w:t>
            </w:r>
          </w:p>
        </w:tc>
      </w:tr>
      <w:tr w:rsidR="00D075C3" w:rsidRPr="00B93CBB">
        <w:trPr>
          <w:trHeight w:val="514"/>
        </w:trPr>
        <w:tc>
          <w:tcPr>
            <w:tcW w:w="5057" w:type="dxa"/>
            <w:gridSpan w:val="2"/>
            <w:vAlign w:val="center"/>
          </w:tcPr>
          <w:p w:rsidR="00D075C3" w:rsidRPr="00B93CBB" w:rsidRDefault="00D075C3" w:rsidP="009157D2">
            <w:r w:rsidRPr="00B93CBB">
              <w:t>Отсутствует</w:t>
            </w:r>
          </w:p>
        </w:tc>
        <w:tc>
          <w:tcPr>
            <w:tcW w:w="2406" w:type="dxa"/>
            <w:gridSpan w:val="3"/>
            <w:vAlign w:val="center"/>
          </w:tcPr>
          <w:p w:rsidR="00D075C3" w:rsidRPr="00B93CBB" w:rsidRDefault="00D075C3" w:rsidP="009157D2">
            <w:r w:rsidRPr="00B93CBB">
              <w:t>Отсутствует</w:t>
            </w:r>
          </w:p>
        </w:tc>
        <w:tc>
          <w:tcPr>
            <w:tcW w:w="2993" w:type="dxa"/>
            <w:gridSpan w:val="2"/>
            <w:vAlign w:val="center"/>
          </w:tcPr>
          <w:p w:rsidR="00D075C3" w:rsidRPr="00B93CBB" w:rsidRDefault="00D075C3" w:rsidP="009157D2">
            <w:r w:rsidRPr="00B93CBB">
              <w:t>Отсутствует</w:t>
            </w:r>
          </w:p>
        </w:tc>
      </w:tr>
      <w:tr w:rsidR="00D075C3" w:rsidRPr="00B93CBB">
        <w:trPr>
          <w:trHeight w:val="411"/>
        </w:trPr>
        <w:tc>
          <w:tcPr>
            <w:tcW w:w="10456" w:type="dxa"/>
            <w:gridSpan w:val="7"/>
          </w:tcPr>
          <w:p w:rsidR="00D075C3" w:rsidRPr="00385CB1" w:rsidRDefault="00D075C3" w:rsidP="009B0E7B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385CB1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Информационные издержки</w:t>
            </w:r>
            <w:r>
              <w:rPr>
                <w:rStyle w:val="FootnoteReference"/>
                <w:rFonts w:ascii="Times New Roman" w:hAnsi="Times New Roman" w:cs="Times New Roman"/>
                <w:kern w:val="32"/>
                <w:sz w:val="28"/>
                <w:szCs w:val="28"/>
              </w:rPr>
              <w:footnoteReference w:id="5"/>
            </w:r>
          </w:p>
        </w:tc>
      </w:tr>
      <w:tr w:rsidR="00D075C3" w:rsidRPr="00B93CBB">
        <w:trPr>
          <w:trHeight w:val="269"/>
        </w:trPr>
        <w:tc>
          <w:tcPr>
            <w:tcW w:w="5057" w:type="dxa"/>
            <w:gridSpan w:val="2"/>
            <w:vAlign w:val="center"/>
          </w:tcPr>
          <w:p w:rsidR="00D075C3" w:rsidRPr="00B93CBB" w:rsidRDefault="00D075C3" w:rsidP="009157D2">
            <w:r w:rsidRPr="00B93CBB">
              <w:t>Отсутствует</w:t>
            </w:r>
          </w:p>
        </w:tc>
        <w:tc>
          <w:tcPr>
            <w:tcW w:w="2406" w:type="dxa"/>
            <w:gridSpan w:val="3"/>
            <w:vAlign w:val="center"/>
          </w:tcPr>
          <w:p w:rsidR="00D075C3" w:rsidRPr="00B93CBB" w:rsidRDefault="00D075C3" w:rsidP="009157D2">
            <w:r w:rsidRPr="00B93CBB">
              <w:t>Отсутствует</w:t>
            </w:r>
          </w:p>
        </w:tc>
        <w:tc>
          <w:tcPr>
            <w:tcW w:w="2993" w:type="dxa"/>
            <w:gridSpan w:val="2"/>
            <w:vAlign w:val="center"/>
          </w:tcPr>
          <w:p w:rsidR="00D075C3" w:rsidRPr="00B93CBB" w:rsidRDefault="00D075C3" w:rsidP="009157D2">
            <w:r w:rsidRPr="00B93CBB">
              <w:t>Отсутствует</w:t>
            </w:r>
          </w:p>
        </w:tc>
      </w:tr>
      <w:tr w:rsidR="00D075C3" w:rsidRPr="00B93CBB">
        <w:trPr>
          <w:trHeight w:val="269"/>
        </w:trPr>
        <w:tc>
          <w:tcPr>
            <w:tcW w:w="5057" w:type="dxa"/>
            <w:gridSpan w:val="2"/>
            <w:vAlign w:val="center"/>
          </w:tcPr>
          <w:p w:rsidR="00D075C3" w:rsidRPr="00B93CBB" w:rsidRDefault="00D075C3" w:rsidP="009157D2">
            <w:r w:rsidRPr="00B93CBB">
              <w:t>Отсутствует</w:t>
            </w:r>
          </w:p>
        </w:tc>
        <w:tc>
          <w:tcPr>
            <w:tcW w:w="2406" w:type="dxa"/>
            <w:gridSpan w:val="3"/>
            <w:vAlign w:val="center"/>
          </w:tcPr>
          <w:p w:rsidR="00D075C3" w:rsidRPr="00B93CBB" w:rsidRDefault="00D075C3" w:rsidP="009157D2">
            <w:r w:rsidRPr="00B93CBB">
              <w:t>Отсутствует</w:t>
            </w:r>
          </w:p>
        </w:tc>
        <w:tc>
          <w:tcPr>
            <w:tcW w:w="2993" w:type="dxa"/>
            <w:gridSpan w:val="2"/>
            <w:vAlign w:val="center"/>
          </w:tcPr>
          <w:p w:rsidR="00D075C3" w:rsidRPr="00B93CBB" w:rsidRDefault="00D075C3" w:rsidP="009157D2">
            <w:r w:rsidRPr="00B93CBB">
              <w:t>Отсутствует</w:t>
            </w:r>
          </w:p>
        </w:tc>
      </w:tr>
      <w:tr w:rsidR="00D075C3" w:rsidRPr="00B93CBB">
        <w:trPr>
          <w:trHeight w:val="702"/>
        </w:trPr>
        <w:tc>
          <w:tcPr>
            <w:tcW w:w="10456" w:type="dxa"/>
            <w:gridSpan w:val="7"/>
          </w:tcPr>
          <w:p w:rsidR="00D075C3" w:rsidRPr="00385CB1" w:rsidRDefault="00D075C3" w:rsidP="009B0E7B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2"/>
                <w:sz w:val="28"/>
                <w:szCs w:val="28"/>
              </w:rPr>
              <w:t>Преимущества и (или) иные выгоды</w:t>
            </w:r>
            <w:r>
              <w:rPr>
                <w:rStyle w:val="FootnoteReference"/>
                <w:rFonts w:ascii="Times New Roman" w:hAnsi="Times New Roman" w:cs="Times New Roman"/>
                <w:kern w:val="32"/>
                <w:sz w:val="28"/>
                <w:szCs w:val="28"/>
              </w:rPr>
              <w:footnoteReference w:id="6"/>
            </w:r>
          </w:p>
        </w:tc>
      </w:tr>
      <w:tr w:rsidR="00D075C3" w:rsidRPr="00B93CBB">
        <w:trPr>
          <w:trHeight w:val="359"/>
        </w:trPr>
        <w:tc>
          <w:tcPr>
            <w:tcW w:w="5057" w:type="dxa"/>
            <w:gridSpan w:val="2"/>
            <w:vAlign w:val="center"/>
          </w:tcPr>
          <w:p w:rsidR="00D075C3" w:rsidRPr="00B93CBB" w:rsidRDefault="00D075C3" w:rsidP="009157D2">
            <w:r w:rsidRPr="00B93CBB">
              <w:t>Отсутствует</w:t>
            </w:r>
          </w:p>
        </w:tc>
        <w:tc>
          <w:tcPr>
            <w:tcW w:w="2406" w:type="dxa"/>
            <w:gridSpan w:val="3"/>
            <w:vAlign w:val="center"/>
          </w:tcPr>
          <w:p w:rsidR="00D075C3" w:rsidRPr="00B93CBB" w:rsidRDefault="00D075C3" w:rsidP="009157D2">
            <w:r w:rsidRPr="00B93CBB">
              <w:t>Отсутствует</w:t>
            </w:r>
          </w:p>
        </w:tc>
        <w:tc>
          <w:tcPr>
            <w:tcW w:w="2993" w:type="dxa"/>
            <w:gridSpan w:val="2"/>
            <w:vAlign w:val="center"/>
          </w:tcPr>
          <w:p w:rsidR="00D075C3" w:rsidRPr="00B93CBB" w:rsidRDefault="00D075C3" w:rsidP="009157D2">
            <w:r w:rsidRPr="00B93CBB">
              <w:t>Отсутствует</w:t>
            </w:r>
          </w:p>
        </w:tc>
      </w:tr>
      <w:tr w:rsidR="00D075C3" w:rsidRPr="00B93CBB">
        <w:trPr>
          <w:trHeight w:val="359"/>
        </w:trPr>
        <w:tc>
          <w:tcPr>
            <w:tcW w:w="5057" w:type="dxa"/>
            <w:gridSpan w:val="2"/>
            <w:vAlign w:val="center"/>
          </w:tcPr>
          <w:p w:rsidR="00D075C3" w:rsidRPr="00B93CBB" w:rsidRDefault="00D075C3" w:rsidP="009157D2">
            <w:r w:rsidRPr="00B93CBB">
              <w:t>Отсутствует</w:t>
            </w:r>
          </w:p>
        </w:tc>
        <w:tc>
          <w:tcPr>
            <w:tcW w:w="2406" w:type="dxa"/>
            <w:gridSpan w:val="3"/>
            <w:vAlign w:val="center"/>
          </w:tcPr>
          <w:p w:rsidR="00D075C3" w:rsidRPr="00B93CBB" w:rsidRDefault="00D075C3" w:rsidP="009157D2">
            <w:r w:rsidRPr="00B93CBB">
              <w:t>Отсутствует</w:t>
            </w:r>
          </w:p>
        </w:tc>
        <w:tc>
          <w:tcPr>
            <w:tcW w:w="2993" w:type="dxa"/>
            <w:gridSpan w:val="2"/>
            <w:vAlign w:val="center"/>
          </w:tcPr>
          <w:p w:rsidR="00D075C3" w:rsidRPr="00B93CBB" w:rsidRDefault="00D075C3" w:rsidP="009157D2">
            <w:r w:rsidRPr="00B93CBB">
              <w:t>Отсутствует</w:t>
            </w:r>
          </w:p>
        </w:tc>
      </w:tr>
      <w:tr w:rsidR="00D075C3" w:rsidRPr="00B93CBB">
        <w:trPr>
          <w:trHeight w:val="692"/>
        </w:trPr>
        <w:tc>
          <w:tcPr>
            <w:tcW w:w="10456" w:type="dxa"/>
            <w:gridSpan w:val="7"/>
            <w:vAlign w:val="center"/>
          </w:tcPr>
          <w:p w:rsidR="00D075C3" w:rsidRDefault="00D075C3" w:rsidP="007C530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7.1.6.</w:t>
            </w:r>
          </w:p>
          <w:p w:rsidR="00D075C3" w:rsidRPr="00D65E05" w:rsidRDefault="00D075C3" w:rsidP="00427FE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D65E0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D075C3" w:rsidRPr="00B93CBB">
        <w:trPr>
          <w:trHeight w:val="606"/>
        </w:trPr>
        <w:tc>
          <w:tcPr>
            <w:tcW w:w="5057" w:type="dxa"/>
            <w:gridSpan w:val="2"/>
          </w:tcPr>
          <w:p w:rsidR="00D075C3" w:rsidRPr="00D0523E" w:rsidRDefault="00D075C3" w:rsidP="0043560E">
            <w:pPr>
              <w:keepNext/>
              <w:spacing w:before="120" w:after="120" w:line="240" w:lineRule="auto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406" w:type="dxa"/>
            <w:gridSpan w:val="3"/>
          </w:tcPr>
          <w:p w:rsidR="00D075C3" w:rsidRPr="00385CB1" w:rsidRDefault="00D075C3" w:rsidP="00A91146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7C5301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Отсутствует</w:t>
            </w:r>
          </w:p>
        </w:tc>
        <w:tc>
          <w:tcPr>
            <w:tcW w:w="2993" w:type="dxa"/>
            <w:gridSpan w:val="2"/>
          </w:tcPr>
          <w:p w:rsidR="00D075C3" w:rsidRPr="00385CB1" w:rsidRDefault="00D075C3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7C5301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Отсутствует</w:t>
            </w:r>
          </w:p>
        </w:tc>
      </w:tr>
      <w:tr w:rsidR="00D075C3" w:rsidRPr="00B93CBB">
        <w:trPr>
          <w:trHeight w:val="606"/>
        </w:trPr>
        <w:tc>
          <w:tcPr>
            <w:tcW w:w="5057" w:type="dxa"/>
            <w:gridSpan w:val="2"/>
          </w:tcPr>
          <w:p w:rsidR="00D075C3" w:rsidRDefault="00D075C3" w:rsidP="009B0E7B">
            <w:pPr>
              <w:keepNext/>
              <w:spacing w:before="120" w:after="120" w:line="240" w:lineRule="auto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Pr="00D052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реимущества 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(или)</w:t>
            </w:r>
            <w:r w:rsidRPr="00D052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иные выгоды</w:t>
            </w:r>
          </w:p>
        </w:tc>
        <w:tc>
          <w:tcPr>
            <w:tcW w:w="2406" w:type="dxa"/>
            <w:gridSpan w:val="3"/>
          </w:tcPr>
          <w:p w:rsidR="00D075C3" w:rsidRPr="00385CB1" w:rsidRDefault="00D075C3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7C5301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Отсутствует</w:t>
            </w:r>
          </w:p>
        </w:tc>
        <w:tc>
          <w:tcPr>
            <w:tcW w:w="2993" w:type="dxa"/>
            <w:gridSpan w:val="2"/>
          </w:tcPr>
          <w:p w:rsidR="00D075C3" w:rsidRPr="00385CB1" w:rsidRDefault="00D075C3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7C5301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Отсутствует</w:t>
            </w:r>
          </w:p>
        </w:tc>
      </w:tr>
      <w:tr w:rsidR="00D075C3" w:rsidRPr="00B93CBB">
        <w:trPr>
          <w:trHeight w:val="577"/>
        </w:trPr>
        <w:tc>
          <w:tcPr>
            <w:tcW w:w="10456" w:type="dxa"/>
            <w:gridSpan w:val="7"/>
          </w:tcPr>
          <w:p w:rsidR="00D075C3" w:rsidRPr="0019212D" w:rsidRDefault="00D075C3" w:rsidP="00EC5E21">
            <w:pPr>
              <w:pStyle w:val="Title"/>
              <w:spacing w:before="120"/>
              <w:ind w:left="34" w:firstLine="1"/>
              <w:jc w:val="left"/>
            </w:pPr>
            <w:r>
              <w:t xml:space="preserve">7.1.7. </w:t>
            </w:r>
            <w:r w:rsidRPr="00A1076A">
              <w:t>Источники данных:</w:t>
            </w:r>
            <w:r w:rsidRPr="00765D79">
              <w:t>Отсутствует</w:t>
            </w:r>
          </w:p>
          <w:p w:rsidR="00D075C3" w:rsidRPr="00B93CBB" w:rsidRDefault="00D075C3" w:rsidP="001F1F10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(место для текстового описания)</w:t>
            </w:r>
          </w:p>
          <w:p w:rsidR="00D075C3" w:rsidRPr="00494594" w:rsidRDefault="00D075C3" w:rsidP="009B0E7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</w:p>
        </w:tc>
      </w:tr>
      <w:tr w:rsidR="00D075C3" w:rsidRPr="00B93CBB">
        <w:trPr>
          <w:trHeight w:val="62"/>
        </w:trPr>
        <w:tc>
          <w:tcPr>
            <w:tcW w:w="10456" w:type="dxa"/>
            <w:gridSpan w:val="7"/>
          </w:tcPr>
          <w:p w:rsidR="00D075C3" w:rsidRPr="00385CB1" w:rsidRDefault="00D075C3" w:rsidP="007C5301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kern w:val="32"/>
                <w:sz w:val="28"/>
                <w:szCs w:val="28"/>
              </w:rPr>
              <w:t>7.1.8. Нормативно-правовые и (</w:t>
            </w:r>
            <w:r w:rsidRPr="00385CB1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kern w:val="32"/>
                <w:sz w:val="28"/>
                <w:szCs w:val="28"/>
              </w:rPr>
              <w:t>)</w:t>
            </w:r>
            <w:r w:rsidRPr="00385CB1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 организационные меры, предпринятые для сокращения диспропорций</w:t>
            </w:r>
            <w:r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 в нагрузке, связанной с реализацией проекта акта</w:t>
            </w:r>
          </w:p>
        </w:tc>
      </w:tr>
      <w:tr w:rsidR="00D075C3" w:rsidRPr="00B93CBB">
        <w:trPr>
          <w:trHeight w:val="551"/>
        </w:trPr>
        <w:tc>
          <w:tcPr>
            <w:tcW w:w="4212" w:type="dxa"/>
            <w:vAlign w:val="center"/>
          </w:tcPr>
          <w:p w:rsidR="00D075C3" w:rsidRPr="00385CB1" w:rsidRDefault="00D075C3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</w:rPr>
            </w:pPr>
            <w:r w:rsidRPr="00385CB1"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6244" w:type="dxa"/>
            <w:gridSpan w:val="6"/>
          </w:tcPr>
          <w:p w:rsidR="00D075C3" w:rsidRPr="00385CB1" w:rsidRDefault="00D075C3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B93CBB">
              <w:t>Отсутствуют</w:t>
            </w:r>
          </w:p>
        </w:tc>
      </w:tr>
      <w:tr w:rsidR="00D075C3" w:rsidRPr="00B93CBB">
        <w:trPr>
          <w:trHeight w:val="559"/>
        </w:trPr>
        <w:tc>
          <w:tcPr>
            <w:tcW w:w="4212" w:type="dxa"/>
            <w:vAlign w:val="center"/>
          </w:tcPr>
          <w:p w:rsidR="00D075C3" w:rsidRPr="00385CB1" w:rsidRDefault="00D075C3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</w:rPr>
            </w:pPr>
            <w:r w:rsidRPr="00385CB1"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</w:tcPr>
          <w:p w:rsidR="00D075C3" w:rsidRPr="00385CB1" w:rsidRDefault="00D075C3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B93CBB">
              <w:t>Отсутствуют</w:t>
            </w:r>
          </w:p>
        </w:tc>
      </w:tr>
      <w:tr w:rsidR="00D075C3" w:rsidRPr="00B93CBB">
        <w:trPr>
          <w:trHeight w:val="62"/>
        </w:trPr>
        <w:tc>
          <w:tcPr>
            <w:tcW w:w="4212" w:type="dxa"/>
          </w:tcPr>
          <w:p w:rsidR="00D075C3" w:rsidRPr="00385CB1" w:rsidRDefault="00D075C3" w:rsidP="007C5301">
            <w:pPr>
              <w:spacing w:before="120" w:after="12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2"/>
                <w:sz w:val="28"/>
                <w:szCs w:val="28"/>
              </w:rPr>
              <w:t>7.1.9.</w:t>
            </w:r>
          </w:p>
          <w:p w:rsidR="00D075C3" w:rsidRPr="00385CB1" w:rsidRDefault="00D075C3" w:rsidP="009B0E7B">
            <w:pPr>
              <w:spacing w:before="120" w:after="120"/>
              <w:jc w:val="center"/>
              <w:rPr>
                <w:vertAlign w:val="superscript"/>
              </w:rPr>
            </w:pPr>
            <w:r w:rsidRPr="00385CB1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Прогноз </w:t>
            </w:r>
            <w:r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количественной </w:t>
            </w:r>
            <w:r w:rsidRPr="00385CB1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динамики </w:t>
            </w:r>
            <w:r w:rsidRPr="00891BF4">
              <w:rPr>
                <w:rFonts w:ascii="Times New Roman" w:hAnsi="Times New Roman" w:cs="Times New Roman"/>
                <w:kern w:val="32"/>
                <w:sz w:val="28"/>
                <w:szCs w:val="28"/>
              </w:rPr>
              <w:t>структуры регулируемых субъектов по категориям</w:t>
            </w:r>
            <w:r w:rsidRPr="00385CB1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 при введении предлагаемого регулирования</w:t>
            </w:r>
          </w:p>
        </w:tc>
        <w:tc>
          <w:tcPr>
            <w:tcW w:w="1839" w:type="dxa"/>
            <w:gridSpan w:val="2"/>
            <w:vAlign w:val="center"/>
          </w:tcPr>
          <w:p w:rsidR="00D075C3" w:rsidRPr="00891BF4" w:rsidRDefault="00D075C3" w:rsidP="005F50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Микро</w:t>
            </w:r>
            <w:r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1840" w:type="dxa"/>
            <w:gridSpan w:val="3"/>
            <w:vAlign w:val="center"/>
          </w:tcPr>
          <w:p w:rsidR="00D075C3" w:rsidRDefault="00D075C3" w:rsidP="009B0E7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1B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Малы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</w:p>
          <w:p w:rsidR="00D075C3" w:rsidRPr="00891BF4" w:rsidRDefault="00D075C3" w:rsidP="009B0E7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vAlign w:val="center"/>
          </w:tcPr>
          <w:p w:rsidR="00D075C3" w:rsidRDefault="00D075C3" w:rsidP="009B0E7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1B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редние</w:t>
            </w:r>
          </w:p>
          <w:p w:rsidR="00D075C3" w:rsidRPr="00891BF4" w:rsidRDefault="00D075C3" w:rsidP="009B0E7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</w:rPr>
              <w:t>предприятия</w:t>
            </w:r>
          </w:p>
        </w:tc>
      </w:tr>
      <w:tr w:rsidR="00D075C3" w:rsidRPr="00B93CBB">
        <w:trPr>
          <w:trHeight w:val="62"/>
        </w:trPr>
        <w:tc>
          <w:tcPr>
            <w:tcW w:w="4212" w:type="dxa"/>
            <w:vAlign w:val="center"/>
          </w:tcPr>
          <w:p w:rsidR="00D075C3" w:rsidRPr="00B93CBB" w:rsidRDefault="00D075C3" w:rsidP="009E6102">
            <w:r w:rsidRPr="00B93CBB">
              <w:t>Отсутствует</w:t>
            </w:r>
          </w:p>
        </w:tc>
        <w:tc>
          <w:tcPr>
            <w:tcW w:w="1839" w:type="dxa"/>
            <w:gridSpan w:val="2"/>
            <w:vAlign w:val="center"/>
          </w:tcPr>
          <w:p w:rsidR="00D075C3" w:rsidRPr="00B93CBB" w:rsidRDefault="00D075C3" w:rsidP="009157D2">
            <w:r w:rsidRPr="00B93CBB">
              <w:t>Отсутствует</w:t>
            </w:r>
          </w:p>
        </w:tc>
        <w:tc>
          <w:tcPr>
            <w:tcW w:w="1840" w:type="dxa"/>
            <w:gridSpan w:val="3"/>
            <w:vAlign w:val="center"/>
          </w:tcPr>
          <w:p w:rsidR="00D075C3" w:rsidRPr="00B93CBB" w:rsidRDefault="00D075C3" w:rsidP="009157D2">
            <w:r w:rsidRPr="00B93CBB">
              <w:t>Отсутствует</w:t>
            </w:r>
          </w:p>
        </w:tc>
        <w:tc>
          <w:tcPr>
            <w:tcW w:w="2565" w:type="dxa"/>
            <w:vAlign w:val="center"/>
          </w:tcPr>
          <w:p w:rsidR="00D075C3" w:rsidRPr="00B93CBB" w:rsidRDefault="00D075C3" w:rsidP="009157D2">
            <w:r w:rsidRPr="00B93CBB">
              <w:t>Отсутствует</w:t>
            </w:r>
          </w:p>
        </w:tc>
      </w:tr>
      <w:tr w:rsidR="00D075C3" w:rsidRPr="00B93CBB">
        <w:trPr>
          <w:trHeight w:val="62"/>
        </w:trPr>
        <w:tc>
          <w:tcPr>
            <w:tcW w:w="4212" w:type="dxa"/>
            <w:vAlign w:val="center"/>
          </w:tcPr>
          <w:p w:rsidR="00D075C3" w:rsidRPr="00B93CBB" w:rsidRDefault="00D075C3" w:rsidP="009157D2">
            <w:r w:rsidRPr="00B93CBB">
              <w:t>Отсутствует</w:t>
            </w:r>
          </w:p>
        </w:tc>
        <w:tc>
          <w:tcPr>
            <w:tcW w:w="1839" w:type="dxa"/>
            <w:gridSpan w:val="2"/>
            <w:vAlign w:val="center"/>
          </w:tcPr>
          <w:p w:rsidR="00D075C3" w:rsidRPr="00B93CBB" w:rsidRDefault="00D075C3" w:rsidP="009157D2">
            <w:r w:rsidRPr="00B93CBB">
              <w:t>Отсутствует</w:t>
            </w:r>
          </w:p>
        </w:tc>
        <w:tc>
          <w:tcPr>
            <w:tcW w:w="1840" w:type="dxa"/>
            <w:gridSpan w:val="3"/>
            <w:vAlign w:val="center"/>
          </w:tcPr>
          <w:p w:rsidR="00D075C3" w:rsidRPr="00B93CBB" w:rsidRDefault="00D075C3" w:rsidP="009157D2">
            <w:r w:rsidRPr="00B93CBB">
              <w:t>Отсутствует</w:t>
            </w:r>
          </w:p>
        </w:tc>
        <w:tc>
          <w:tcPr>
            <w:tcW w:w="2565" w:type="dxa"/>
            <w:vAlign w:val="center"/>
          </w:tcPr>
          <w:p w:rsidR="00D075C3" w:rsidRPr="00B93CBB" w:rsidRDefault="00D075C3" w:rsidP="009157D2">
            <w:r w:rsidRPr="00B93CBB">
              <w:t>Отсутствует</w:t>
            </w:r>
          </w:p>
        </w:tc>
      </w:tr>
    </w:tbl>
    <w:p w:rsidR="00D075C3" w:rsidRDefault="00D075C3" w:rsidP="009B0E7B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75C3" w:rsidRDefault="00D075C3" w:rsidP="009B0E7B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75C3" w:rsidRDefault="00D075C3" w:rsidP="009B0E7B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567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2"/>
        <w:gridCol w:w="3561"/>
        <w:gridCol w:w="3559"/>
      </w:tblGrid>
      <w:tr w:rsidR="00D075C3" w:rsidRPr="00B93CBB">
        <w:tc>
          <w:tcPr>
            <w:tcW w:w="1667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D075C3" w:rsidRPr="0030374D" w:rsidRDefault="00D075C3" w:rsidP="009B0E7B">
      <w:pPr>
        <w:spacing w:after="0"/>
        <w:jc w:val="center"/>
        <w:rPr>
          <w:rFonts w:ascii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2"/>
        <w:gridCol w:w="3561"/>
        <w:gridCol w:w="3559"/>
      </w:tblGrid>
      <w:tr w:rsidR="00D075C3" w:rsidRPr="00B93CBB">
        <w:tc>
          <w:tcPr>
            <w:tcW w:w="1667" w:type="pct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075C3" w:rsidRPr="00B93CBB">
        <w:tc>
          <w:tcPr>
            <w:tcW w:w="1667" w:type="pct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Согласование сделок в рамках экономической концентрации в случае, если если цена сделки по преобретению акций (долей), права и (или) имущества превышает семь миллиардов рублей.</w:t>
            </w:r>
          </w:p>
        </w:tc>
        <w:tc>
          <w:tcPr>
            <w:tcW w:w="1667" w:type="pct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В порядке, предусмотренном положениями главы 7 Федерального закона от 26.07.2006 № 135-ФЗ «О защите конкуренции».</w:t>
            </w:r>
          </w:p>
        </w:tc>
        <w:tc>
          <w:tcPr>
            <w:tcW w:w="1666" w:type="pct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075C3" w:rsidRPr="00B93CBB">
        <w:tc>
          <w:tcPr>
            <w:tcW w:w="1667" w:type="pct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Право антимонопольного органа обратиться в суд в случае неисполнения предписания антимонопольного органа, выданного в порядке, предусмотренном пуноктом 4 части 2 статьи 33 Федерального закона от 26.07.2006 № 135-ФЗ «О защите конкуренции», если такое неисполнение приводит или может привести к недопущению, ограничению и устранению конкуренции.</w:t>
            </w:r>
          </w:p>
        </w:tc>
        <w:tc>
          <w:tcPr>
            <w:tcW w:w="1667" w:type="pct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В порядке, предусмотренном проектируемыми положениями части 5</w:t>
            </w:r>
            <w:r w:rsidRPr="00B93C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статьи 34 Федерального закона от 26.07.2006 № 135-ФЗ «О защите конкуренции» в редакции проекта федерального закона.</w:t>
            </w:r>
          </w:p>
        </w:tc>
        <w:tc>
          <w:tcPr>
            <w:tcW w:w="1666" w:type="pct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D075C3" w:rsidRPr="00CE0CCD" w:rsidRDefault="00D075C3" w:rsidP="009B0E7B">
      <w:pPr>
        <w:spacing w:before="240" w:after="0"/>
        <w:rPr>
          <w:rFonts w:ascii="Times New Roman" w:hAnsi="Times New Roman" w:cs="Times New Roman"/>
          <w:b/>
          <w:bCs/>
          <w:sz w:val="2"/>
          <w:szCs w:val="2"/>
          <w:lang w:eastAsia="ru-RU"/>
        </w:rPr>
      </w:pPr>
    </w:p>
    <w:p w:rsidR="00D075C3" w:rsidRDefault="00D075C3" w:rsidP="009B0E7B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679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8"/>
        <w:gridCol w:w="3514"/>
        <w:gridCol w:w="3510"/>
      </w:tblGrid>
      <w:tr w:rsidR="00D075C3" w:rsidRPr="00B93CBB">
        <w:tc>
          <w:tcPr>
            <w:tcW w:w="1712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 w:rsidRPr="00B93CBB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645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D075C3" w:rsidRPr="00284FDB" w:rsidRDefault="00D075C3" w:rsidP="009B0E7B">
      <w:pPr>
        <w:spacing w:after="0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D075C3" w:rsidRDefault="00D075C3" w:rsidP="009B0E7B">
      <w:pPr>
        <w:spacing w:after="0"/>
        <w:jc w:val="center"/>
        <w:rPr>
          <w:rFonts w:ascii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0"/>
        <w:gridCol w:w="107"/>
        <w:gridCol w:w="990"/>
        <w:gridCol w:w="2378"/>
        <w:gridCol w:w="2500"/>
        <w:gridCol w:w="3353"/>
        <w:gridCol w:w="528"/>
      </w:tblGrid>
      <w:tr w:rsidR="00D075C3" w:rsidRPr="00B93CBB">
        <w:trPr>
          <w:gridBefore w:val="1"/>
        </w:trPr>
        <w:tc>
          <w:tcPr>
            <w:tcW w:w="540" w:type="pct"/>
            <w:gridSpan w:val="2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Pr="00B93CBB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8"/>
            </w: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  <w:gridSpan w:val="3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075C3" w:rsidRPr="00B93CBB">
        <w:trPr>
          <w:gridBefore w:val="1"/>
        </w:trPr>
        <w:tc>
          <w:tcPr>
            <w:tcW w:w="5000" w:type="pct"/>
            <w:gridSpan w:val="6"/>
            <w:tcMar>
              <w:left w:w="0" w:type="dxa"/>
              <w:right w:w="0" w:type="dxa"/>
            </w:tcMar>
          </w:tcPr>
          <w:tbl>
            <w:tblPr>
              <w:tblW w:w="5000" w:type="pct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061"/>
              <w:gridCol w:w="2313"/>
              <w:gridCol w:w="812"/>
              <w:gridCol w:w="2428"/>
              <w:gridCol w:w="3222"/>
            </w:tblGrid>
            <w:tr w:rsidR="00D075C3" w:rsidRPr="00B93CBB">
              <w:tc>
                <w:tcPr>
                  <w:tcW w:w="53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5C3" w:rsidRPr="00B93CBB" w:rsidRDefault="00D075C3" w:rsidP="00B93C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93CB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5C3" w:rsidRPr="00B93CBB" w:rsidRDefault="00D075C3" w:rsidP="00B93C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93CB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5C3" w:rsidRPr="00B93CBB" w:rsidRDefault="00D075C3" w:rsidP="00B93C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93CB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5C3" w:rsidRPr="00B93CBB" w:rsidRDefault="00D075C3" w:rsidP="00B93C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3C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расходы в год возникновения: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5C3" w:rsidRPr="00B93CBB" w:rsidRDefault="00D075C3" w:rsidP="00B93C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3CB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</w:tr>
            <w:tr w:rsidR="00D075C3" w:rsidRPr="00B93CBB">
              <w:tc>
                <w:tcPr>
                  <w:tcW w:w="53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5C3" w:rsidRPr="00B93CBB" w:rsidRDefault="00D075C3" w:rsidP="00B93C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5C3" w:rsidRPr="00B93CBB" w:rsidRDefault="00D075C3" w:rsidP="00B93C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5C3" w:rsidRPr="00B93CBB" w:rsidRDefault="00D075C3" w:rsidP="00B93C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93CB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5C3" w:rsidRPr="00B93CBB" w:rsidRDefault="00D075C3" w:rsidP="00B93C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93C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 w:rsidRPr="00B93CB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5C3" w:rsidRPr="00B93CBB" w:rsidRDefault="00D075C3" w:rsidP="00B93C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3CB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</w:tr>
            <w:tr w:rsidR="00D075C3" w:rsidRPr="00B93CBB">
              <w:tc>
                <w:tcPr>
                  <w:tcW w:w="53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5C3" w:rsidRPr="00B93CBB" w:rsidRDefault="00D075C3" w:rsidP="00B93C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5C3" w:rsidRPr="00B93CBB" w:rsidRDefault="00D075C3" w:rsidP="00B93C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5C3" w:rsidRPr="00B93CBB" w:rsidRDefault="00D075C3" w:rsidP="00B93C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93CB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5C3" w:rsidRPr="00B93CBB" w:rsidRDefault="00D075C3" w:rsidP="00B93C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93C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 w:rsidRPr="00B93CB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5C3" w:rsidRPr="00B93CBB" w:rsidRDefault="00D075C3" w:rsidP="00B93C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3CB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</w:tr>
          </w:tbl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75C3" w:rsidRPr="00B93CBB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405" w:type="pct"/>
            <w:gridSpan w:val="2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  <w:gridSpan w:val="3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075C3" w:rsidRPr="00B93CBB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405" w:type="pct"/>
            <w:gridSpan w:val="2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  <w:gridSpan w:val="3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075C3" w:rsidRPr="00B93CBB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405" w:type="pct"/>
            <w:gridSpan w:val="2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  <w:gridSpan w:val="3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075C3" w:rsidRPr="00B93CBB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405" w:type="pct"/>
            <w:gridSpan w:val="2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4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D075C3" w:rsidRPr="00B93CBB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405" w:type="pct"/>
            <w:gridSpan w:val="2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4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D075C3" w:rsidRDefault="00D075C3" w:rsidP="009B0E7B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5567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245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0"/>
        <w:gridCol w:w="3653"/>
        <w:gridCol w:w="3559"/>
      </w:tblGrid>
      <w:tr w:rsidR="00D075C3" w:rsidRPr="00B93CBB">
        <w:tc>
          <w:tcPr>
            <w:tcW w:w="1624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B93CBB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710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D075C3" w:rsidRPr="00B93CBB">
        <w:trPr>
          <w:trHeight w:val="192"/>
        </w:trPr>
        <w:tc>
          <w:tcPr>
            <w:tcW w:w="5000" w:type="pct"/>
            <w:gridSpan w:val="3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(Групп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участниковотношений)</w:t>
            </w:r>
          </w:p>
        </w:tc>
      </w:tr>
    </w:tbl>
    <w:p w:rsidR="00D075C3" w:rsidRPr="005545B8" w:rsidRDefault="00D075C3" w:rsidP="009B0E7B">
      <w:pPr>
        <w:spacing w:after="0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7"/>
        <w:gridCol w:w="3571"/>
        <w:gridCol w:w="3571"/>
      </w:tblGrid>
      <w:tr w:rsidR="00D075C3" w:rsidRPr="00B93CBB">
        <w:trPr>
          <w:trHeight w:val="665"/>
          <w:jc w:val="right"/>
        </w:trPr>
        <w:tc>
          <w:tcPr>
            <w:tcW w:w="1624" w:type="pct"/>
          </w:tcPr>
          <w:p w:rsidR="00D075C3" w:rsidRPr="00B93CBB" w:rsidRDefault="00D075C3" w:rsidP="00B93CBB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Хозяйствующие субъекты, владеющие цифровой платформой, в случае, если такая цифровая платформа занимает долю более чем 35 процентов на рынке взаимозаменяемых услуг, оказываемых с использованием цифровых платформ, связанных с обеспечением взаимодействия хозяйствующих субъектов-продавцов и покупателей и владеющих цифровой платформой или несколькими сходными (взаимозаменяемыми) цифровыми платформами, выручка от деятельности которой (которых) за последний календарный год превышает 400 миллионов рублей.</w:t>
            </w:r>
          </w:p>
        </w:tc>
        <w:tc>
          <w:tcPr>
            <w:tcW w:w="3376" w:type="pct"/>
            <w:gridSpan w:val="2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599"/>
              <w:gridCol w:w="3523"/>
            </w:tblGrid>
            <w:tr w:rsidR="00D075C3" w:rsidRPr="00B93CBB">
              <w:trPr>
                <w:trHeight w:val="890"/>
              </w:trPr>
              <w:tc>
                <w:tcPr>
                  <w:tcW w:w="2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5C3" w:rsidRPr="00B93CBB" w:rsidRDefault="00D075C3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3C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Запрет злоупотребления доминирующим положением</w:t>
                  </w:r>
                </w:p>
              </w:tc>
              <w:tc>
                <w:tcPr>
                  <w:tcW w:w="2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5C3" w:rsidRPr="00B93CBB" w:rsidRDefault="00D075C3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93CB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</w:tr>
          </w:tbl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75C3" w:rsidRPr="00B93CBB">
        <w:trPr>
          <w:trHeight w:val="665"/>
          <w:jc w:val="right"/>
        </w:trPr>
        <w:tc>
          <w:tcPr>
            <w:tcW w:w="1624" w:type="pct"/>
          </w:tcPr>
          <w:p w:rsidR="00D075C3" w:rsidRPr="00B93CBB" w:rsidRDefault="00D075C3" w:rsidP="00B93CBB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Хозяйствующие субъекты, совершающие сделки по преобретению акций (долей), права и (или) имущества, если цена такой сделки превышает семь миллиардов рублей.</w:t>
            </w:r>
          </w:p>
        </w:tc>
        <w:tc>
          <w:tcPr>
            <w:tcW w:w="1688" w:type="pct"/>
            <w:tcMar>
              <w:left w:w="0" w:type="dxa"/>
              <w:right w:w="0" w:type="dxa"/>
            </w:tcMar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Обязанность представления в антимонопольный орган ходатайства об осуществлении сделки по преобретению акций (долей), права и (или) имущества и получение согласия антимонопольного органа на совершение такой сделки.</w:t>
            </w:r>
          </w:p>
        </w:tc>
        <w:tc>
          <w:tcPr>
            <w:tcW w:w="1688" w:type="pct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Предусмотрен главой 7 Федерального закона от 26.07.2006 № 135-ФЗ «О защите конкуренции» в действующей редакции.</w:t>
            </w:r>
          </w:p>
        </w:tc>
      </w:tr>
    </w:tbl>
    <w:p w:rsidR="00D075C3" w:rsidRDefault="00D075C3" w:rsidP="009B0E7B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11. </w:t>
      </w:r>
      <w:r w:rsidRPr="009D19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9"/>
        <w:gridCol w:w="3632"/>
        <w:gridCol w:w="3581"/>
      </w:tblGrid>
      <w:tr w:rsidR="00D075C3" w:rsidRPr="00B93CBB">
        <w:tc>
          <w:tcPr>
            <w:tcW w:w="1624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B93CBB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700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 w:rsidRPr="00B93CBB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1"/>
            </w:r>
          </w:p>
        </w:tc>
        <w:tc>
          <w:tcPr>
            <w:tcW w:w="1700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075C3" w:rsidRPr="00B93CBB">
        <w:trPr>
          <w:trHeight w:val="192"/>
        </w:trPr>
        <w:tc>
          <w:tcPr>
            <w:tcW w:w="5000" w:type="pct"/>
            <w:gridSpan w:val="3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(Групп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участниковотношений</w:t>
            </w:r>
          </w:p>
        </w:tc>
      </w:tr>
    </w:tbl>
    <w:p w:rsidR="00D075C3" w:rsidRPr="002A016C" w:rsidRDefault="00D075C3" w:rsidP="009B0E7B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2571"/>
        <w:gridCol w:w="3576"/>
        <w:gridCol w:w="3576"/>
      </w:tblGrid>
      <w:tr w:rsidR="00D075C3" w:rsidRPr="00B93CBB">
        <w:trPr>
          <w:trHeight w:val="725"/>
        </w:trPr>
        <w:tc>
          <w:tcPr>
            <w:tcW w:w="1620" w:type="pct"/>
            <w:gridSpan w:val="2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Хозяйствующие субъекты, владеющие цифровой платформой, в случае, если такая цифровая платформа занимает долю более чем 35 процентов на рынке взаимозаменяемых услуг, оказываемых с использованием цифровых платформ, связанных с обеспечением взаимодействия хозяйствующих субъектов-продавцов и покупателей и владеющих цифровой платформой или несколькими сходными (взаимозаменяемыми) цифровыми платформами, выручка от деятельности которой (которых) за последний календарный год превышает 400 миллионов рублей.</w:t>
            </w:r>
          </w:p>
        </w:tc>
        <w:tc>
          <w:tcPr>
            <w:tcW w:w="3380" w:type="pct"/>
            <w:gridSpan w:val="2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37"/>
              <w:gridCol w:w="3495"/>
            </w:tblGrid>
            <w:tr w:rsidR="00D075C3" w:rsidRPr="00B93CBB">
              <w:trPr>
                <w:trHeight w:val="890"/>
              </w:trPr>
              <w:tc>
                <w:tcPr>
                  <w:tcW w:w="2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5C3" w:rsidRPr="00B93CBB" w:rsidRDefault="00D075C3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93CB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  <w:tc>
                <w:tcPr>
                  <w:tcW w:w="2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5C3" w:rsidRPr="00B93CBB" w:rsidRDefault="00D075C3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93CB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</w:tr>
          </w:tbl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75C3" w:rsidRPr="00B93CBB">
        <w:trPr>
          <w:trHeight w:val="725"/>
        </w:trPr>
        <w:tc>
          <w:tcPr>
            <w:tcW w:w="1620" w:type="pct"/>
            <w:gridSpan w:val="2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Хозяйствующие субъекты, совершающие сделки по преобретению акций (долей), права и (или) имущества, если цена такой сделки превышает семь миллиардов рублей.</w:t>
            </w:r>
          </w:p>
        </w:tc>
        <w:tc>
          <w:tcPr>
            <w:tcW w:w="1690" w:type="pct"/>
            <w:noWrap/>
            <w:tcMar>
              <w:left w:w="0" w:type="dxa"/>
              <w:right w:w="0" w:type="dxa"/>
            </w:tcMar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690" w:type="pct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075C3" w:rsidRPr="00B93CBB">
        <w:tc>
          <w:tcPr>
            <w:tcW w:w="405" w:type="pct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3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D075C3" w:rsidRDefault="00D075C3" w:rsidP="009B0E7B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770DF5">
        <w:rPr>
          <w:rFonts w:ascii="Times New Roman" w:hAnsi="Times New Roman" w:cs="Times New Roman"/>
          <w:b/>
          <w:bCs/>
          <w:sz w:val="28"/>
          <w:szCs w:val="28"/>
        </w:rPr>
        <w:t>Информация об отмене обязанностей, запретов или ограничений для субъектов предпринимательской и иной экономической деятельности</w:t>
      </w:r>
      <w:r>
        <w:rPr>
          <w:rStyle w:val="FootnoteReference"/>
          <w:rFonts w:ascii="Times New Roman" w:hAnsi="Times New Roman" w:cs="Times New Roman"/>
          <w:b/>
          <w:bCs/>
          <w:sz w:val="28"/>
          <w:szCs w:val="28"/>
        </w:rPr>
        <w:footnoteReference w:id="12"/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5"/>
        <w:gridCol w:w="4546"/>
        <w:gridCol w:w="5341"/>
      </w:tblGrid>
      <w:tr w:rsidR="00D075C3" w:rsidRPr="00B93CBB">
        <w:tc>
          <w:tcPr>
            <w:tcW w:w="2500" w:type="pct"/>
            <w:gridSpan w:val="2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D075C3" w:rsidRPr="00B93CBB">
        <w:tc>
          <w:tcPr>
            <w:tcW w:w="2500" w:type="pct"/>
            <w:gridSpan w:val="2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Отмена запрета координации, предусмотренной частью 5 статьи 11 Федерального закона от 26.07.2006 № 135-ФЗ «О защите конкуренции» при соблюдении условий допустимости, предусмотренных статьей 13 Федерального закона от 26.07.2006 № 135-ФЗ «О защите конкуренции».</w:t>
            </w:r>
            <w:bookmarkStart w:id="0" w:name="_GoBack"/>
            <w:bookmarkEnd w:id="0"/>
          </w:p>
        </w:tc>
        <w:tc>
          <w:tcPr>
            <w:tcW w:w="2500" w:type="pct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075C3" w:rsidRPr="00B93CBB">
        <w:tc>
          <w:tcPr>
            <w:tcW w:w="372" w:type="pct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26.07.2006 № 135-ФЗ «О защите конкуренции»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D075C3" w:rsidRDefault="00D075C3" w:rsidP="009B0E7B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 w:rsidRPr="00891221">
        <w:rPr>
          <w:rFonts w:ascii="Times New Roman" w:hAnsi="Times New Roman" w:cs="Times New Roman"/>
          <w:b/>
          <w:bCs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bCs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1176"/>
        <w:gridCol w:w="4106"/>
        <w:gridCol w:w="2312"/>
        <w:gridCol w:w="2312"/>
      </w:tblGrid>
      <w:tr w:rsidR="00D075C3" w:rsidRPr="00B93CBB">
        <w:tc>
          <w:tcPr>
            <w:tcW w:w="1250" w:type="pct"/>
            <w:gridSpan w:val="2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Оценкивероятностинаступления рисков</w:t>
            </w:r>
          </w:p>
        </w:tc>
        <w:tc>
          <w:tcPr>
            <w:tcW w:w="1250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Степеньконтроля рисков</w:t>
            </w:r>
          </w:p>
          <w:p w:rsidR="00D075C3" w:rsidRPr="00B93CBB" w:rsidRDefault="00D075C3" w:rsidP="00B93C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75C3" w:rsidRPr="00B93CBB">
        <w:tc>
          <w:tcPr>
            <w:tcW w:w="1250" w:type="pct"/>
            <w:gridSpan w:val="2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075C3" w:rsidRPr="00B93CBB">
        <w:tc>
          <w:tcPr>
            <w:tcW w:w="372" w:type="pct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D075C3" w:rsidRDefault="00D075C3" w:rsidP="009B0E7B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7A9">
        <w:rPr>
          <w:rFonts w:ascii="Times New Roman" w:hAnsi="Times New Roman" w:cs="Times New Roman"/>
          <w:b/>
          <w:bCs/>
          <w:sz w:val="28"/>
          <w:szCs w:val="28"/>
        </w:rPr>
        <w:t>14. Необходимые для достижения заявленных целей регулирования организационно-технические,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bCs/>
          <w:sz w:val="28"/>
          <w:szCs w:val="28"/>
        </w:rPr>
        <w:t>и иные мероприятия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1189"/>
        <w:gridCol w:w="1788"/>
        <w:gridCol w:w="1778"/>
        <w:gridCol w:w="3002"/>
        <w:gridCol w:w="3526"/>
      </w:tblGrid>
      <w:tr w:rsidR="00D075C3" w:rsidRPr="00B93CBB">
        <w:tc>
          <w:tcPr>
            <w:tcW w:w="986" w:type="pct"/>
            <w:gridSpan w:val="2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Объемфинансирования</w:t>
            </w:r>
          </w:p>
        </w:tc>
        <w:tc>
          <w:tcPr>
            <w:tcW w:w="1058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Источникифинансирования</w:t>
            </w:r>
          </w:p>
        </w:tc>
      </w:tr>
      <w:tr w:rsidR="00D075C3" w:rsidRPr="00B93CBB">
        <w:tc>
          <w:tcPr>
            <w:tcW w:w="986" w:type="pct"/>
            <w:gridSpan w:val="2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958" w:type="pct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941" w:type="pct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057" w:type="pct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058" w:type="pct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075C3" w:rsidRPr="00B93CBB">
        <w:trPr>
          <w:trHeight w:val="1118"/>
        </w:trPr>
        <w:tc>
          <w:tcPr>
            <w:tcW w:w="372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1058" w:type="pct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D075C3" w:rsidRDefault="00D075C3" w:rsidP="009B0E7B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D77">
        <w:rPr>
          <w:rFonts w:ascii="Times New Roman" w:hAnsi="Times New Roman" w:cs="Times New Roman"/>
          <w:b/>
          <w:bCs/>
          <w:sz w:val="28"/>
          <w:szCs w:val="28"/>
        </w:rPr>
        <w:t>15. Индикативные показатели, прогр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аммы мониторинга и иные способы </w:t>
      </w:r>
      <w:r w:rsidRPr="007A0D77">
        <w:rPr>
          <w:rFonts w:ascii="Times New Roman" w:hAnsi="Times New Roman" w:cs="Times New Roman"/>
          <w:b/>
          <w:bCs/>
          <w:sz w:val="28"/>
          <w:szCs w:val="28"/>
        </w:rPr>
        <w:t>(методы) оценки достижения заявленных целей регулирования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7"/>
        <w:gridCol w:w="2111"/>
        <w:gridCol w:w="2431"/>
        <w:gridCol w:w="3923"/>
      </w:tblGrid>
      <w:tr w:rsidR="00D075C3" w:rsidRPr="00B93CBB">
        <w:tc>
          <w:tcPr>
            <w:tcW w:w="1250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 w:rsidRPr="00B93CBB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3"/>
            </w:r>
          </w:p>
        </w:tc>
        <w:tc>
          <w:tcPr>
            <w:tcW w:w="1200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50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Способырасчетаиндикативных показателей</w:t>
            </w:r>
          </w:p>
        </w:tc>
      </w:tr>
    </w:tbl>
    <w:p w:rsidR="00D075C3" w:rsidRPr="00DF07CE" w:rsidRDefault="00D075C3" w:rsidP="009B0E7B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5"/>
        <w:gridCol w:w="7934"/>
      </w:tblGrid>
      <w:tr w:rsidR="00D075C3" w:rsidRPr="00B93CBB">
        <w:trPr>
          <w:trHeight w:val="719"/>
        </w:trPr>
        <w:tc>
          <w:tcPr>
            <w:tcW w:w="1250" w:type="pct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535"/>
              <w:gridCol w:w="2843"/>
              <w:gridCol w:w="2536"/>
            </w:tblGrid>
            <w:tr w:rsidR="00D075C3" w:rsidRPr="00B93CBB">
              <w:trPr>
                <w:trHeight w:val="890"/>
              </w:trPr>
              <w:tc>
                <w:tcPr>
                  <w:tcW w:w="1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5C3" w:rsidRPr="00B93CBB" w:rsidRDefault="00D075C3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93C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5C3" w:rsidRPr="00B93CBB" w:rsidRDefault="00D075C3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93C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5C3" w:rsidRPr="00B93CBB" w:rsidRDefault="00D075C3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93C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</w:tr>
          </w:tbl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5C3" w:rsidRPr="005704E5" w:rsidRDefault="00D075C3" w:rsidP="009B0E7B">
      <w:pPr>
        <w:spacing w:after="0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4"/>
        <w:gridCol w:w="6008"/>
        <w:gridCol w:w="3880"/>
      </w:tblGrid>
      <w:tr w:rsidR="00D075C3" w:rsidRPr="00B93CBB">
        <w:tc>
          <w:tcPr>
            <w:tcW w:w="372" w:type="pct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D075C3" w:rsidRPr="00B93CBB">
        <w:tc>
          <w:tcPr>
            <w:tcW w:w="372" w:type="pct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D075C3" w:rsidRPr="00B93CBB">
        <w:tc>
          <w:tcPr>
            <w:tcW w:w="372" w:type="pct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D075C3" w:rsidRDefault="00D075C3" w:rsidP="009B0E7B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16. </w:t>
      </w:r>
      <w:r w:rsidRPr="00BB1753">
        <w:rPr>
          <w:rFonts w:ascii="Times New Roman" w:hAnsi="Times New Roman" w:cs="Times New Roman"/>
          <w:b/>
          <w:bCs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4405"/>
        <w:gridCol w:w="793"/>
        <w:gridCol w:w="579"/>
        <w:gridCol w:w="4113"/>
      </w:tblGrid>
      <w:tr w:rsidR="00D075C3" w:rsidRPr="00B93CBB">
        <w:tc>
          <w:tcPr>
            <w:tcW w:w="371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октябрь 2018 года</w:t>
            </w:r>
          </w:p>
        </w:tc>
      </w:tr>
      <w:tr w:rsidR="00D075C3" w:rsidRPr="00B93CBB">
        <w:tc>
          <w:tcPr>
            <w:tcW w:w="371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есть / нет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Срок(если есть необходимость):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D075C3" w:rsidRPr="00B93CBB">
        <w:tc>
          <w:tcPr>
            <w:tcW w:w="371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D075C3" w:rsidRPr="00B93CBB">
        <w:tc>
          <w:tcPr>
            <w:tcW w:w="371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D075C3" w:rsidRPr="00B93CBB">
        <w:tc>
          <w:tcPr>
            <w:tcW w:w="371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D075C3" w:rsidRPr="00B93CBB">
        <w:tc>
          <w:tcPr>
            <w:tcW w:w="371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D075C3" w:rsidRPr="00B93CBB">
        <w:tc>
          <w:tcPr>
            <w:tcW w:w="371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D075C3" w:rsidRPr="00B93CBB">
        <w:tc>
          <w:tcPr>
            <w:tcW w:w="371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D075C3" w:rsidRDefault="00D075C3" w:rsidP="009B0E7B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3F9">
        <w:rPr>
          <w:rFonts w:ascii="Times New Roman" w:hAnsi="Times New Roman" w:cs="Times New Roman"/>
          <w:b/>
          <w:bCs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1810"/>
        <w:gridCol w:w="8080"/>
      </w:tblGrid>
      <w:tr w:rsidR="00D075C3" w:rsidRPr="00B93CBB">
        <w:tc>
          <w:tcPr>
            <w:tcW w:w="371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D075C3" w:rsidRPr="00B93CBB">
        <w:trPr>
          <w:trHeight w:val="105"/>
        </w:trPr>
        <w:tc>
          <w:tcPr>
            <w:tcW w:w="371" w:type="pct"/>
            <w:vMerge w:val="restar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D075C3" w:rsidRPr="00B93CBB">
        <w:trPr>
          <w:trHeight w:val="105"/>
        </w:trPr>
        <w:tc>
          <w:tcPr>
            <w:tcW w:w="371" w:type="pct"/>
            <w:vMerge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075C3" w:rsidRPr="00B93CBB">
        <w:trPr>
          <w:trHeight w:val="105"/>
        </w:trPr>
        <w:tc>
          <w:tcPr>
            <w:tcW w:w="371" w:type="pct"/>
            <w:vMerge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075C3" w:rsidRPr="00B93CBB">
        <w:tc>
          <w:tcPr>
            <w:tcW w:w="371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D075C3" w:rsidRPr="00B93CBB">
        <w:tc>
          <w:tcPr>
            <w:tcW w:w="371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D075C3" w:rsidRPr="00B93CBB">
        <w:tc>
          <w:tcPr>
            <w:tcW w:w="371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D075C3" w:rsidRDefault="00D075C3" w:rsidP="009B0E7B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A56">
        <w:rPr>
          <w:rFonts w:ascii="Times New Roman" w:hAnsi="Times New Roman" w:cs="Times New Roman"/>
          <w:b/>
          <w:bCs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7747"/>
        <w:gridCol w:w="2143"/>
      </w:tblGrid>
      <w:tr w:rsidR="00D075C3" w:rsidRPr="00B93CBB">
        <w:trPr>
          <w:trHeight w:val="105"/>
        </w:trPr>
        <w:tc>
          <w:tcPr>
            <w:tcW w:w="371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(шт.):</w:t>
            </w:r>
          </w:p>
        </w:tc>
        <w:tc>
          <w:tcPr>
            <w:tcW w:w="1003" w:type="pct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[o_18_1]</w:t>
            </w:r>
          </w:p>
        </w:tc>
      </w:tr>
      <w:tr w:rsidR="00D075C3" w:rsidRPr="00B93CBB">
        <w:tc>
          <w:tcPr>
            <w:tcW w:w="371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D075C3" w:rsidRDefault="00D075C3" w:rsidP="009B0E7B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7DC">
        <w:rPr>
          <w:rFonts w:ascii="Times New Roman" w:hAnsi="Times New Roman" w:cs="Times New Roman"/>
          <w:b/>
          <w:bCs/>
          <w:sz w:val="28"/>
          <w:szCs w:val="28"/>
        </w:rPr>
        <w:t>19.Иные сведения, которые, по мнению разработчика, позволяют оценить обоснованность предлагаемого регулирования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"/>
        <w:gridCol w:w="9889"/>
      </w:tblGrid>
      <w:tr w:rsidR="00D075C3" w:rsidRPr="00B93CBB">
        <w:tc>
          <w:tcPr>
            <w:tcW w:w="371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D075C3" w:rsidRPr="00B93CBB">
        <w:tc>
          <w:tcPr>
            <w:tcW w:w="371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D075C3" w:rsidRDefault="00D075C3" w:rsidP="009B0E7B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20. </w:t>
      </w:r>
      <w:r w:rsidRPr="00317FD7">
        <w:rPr>
          <w:rFonts w:ascii="Times New Roman" w:hAnsi="Times New Roman" w:cs="Times New Roman"/>
          <w:b/>
          <w:bCs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>
        <w:rPr>
          <w:rStyle w:val="FootnoteReference"/>
          <w:rFonts w:ascii="Times New Roman" w:hAnsi="Times New Roman" w:cs="Times New Roman"/>
          <w:b/>
          <w:bCs/>
          <w:sz w:val="28"/>
          <w:szCs w:val="28"/>
        </w:rPr>
        <w:footnoteReference w:id="14"/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1810"/>
        <w:gridCol w:w="8080"/>
      </w:tblGrid>
      <w:tr w:rsidR="00D075C3" w:rsidRPr="00B93CBB">
        <w:tc>
          <w:tcPr>
            <w:tcW w:w="371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D075C3" w:rsidRPr="00B93CBB">
        <w:trPr>
          <w:trHeight w:val="105"/>
        </w:trPr>
        <w:tc>
          <w:tcPr>
            <w:tcW w:w="371" w:type="pct"/>
            <w:vMerge w:val="restar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акта:</w:t>
            </w:r>
          </w:p>
        </w:tc>
      </w:tr>
      <w:tr w:rsidR="00D075C3" w:rsidRPr="00B93CBB">
        <w:trPr>
          <w:trHeight w:val="105"/>
        </w:trPr>
        <w:tc>
          <w:tcPr>
            <w:tcW w:w="371" w:type="pct"/>
            <w:vMerge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075C3" w:rsidRPr="00B93CBB">
        <w:trPr>
          <w:trHeight w:val="105"/>
        </w:trPr>
        <w:tc>
          <w:tcPr>
            <w:tcW w:w="371" w:type="pct"/>
            <w:vMerge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D075C3" w:rsidRPr="00B93CBB" w:rsidRDefault="00D075C3" w:rsidP="00B93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D075C3" w:rsidRPr="00B93CBB" w:rsidRDefault="00D075C3" w:rsidP="00B93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075C3" w:rsidRPr="00B93CBB">
        <w:tc>
          <w:tcPr>
            <w:tcW w:w="371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D075C3" w:rsidRPr="00B93CBB">
        <w:tc>
          <w:tcPr>
            <w:tcW w:w="371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D075C3" w:rsidRPr="00B93CBB">
        <w:tc>
          <w:tcPr>
            <w:tcW w:w="371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D075C3" w:rsidRPr="00B93CBB">
        <w:tc>
          <w:tcPr>
            <w:tcW w:w="371" w:type="pct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9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акта: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D075C3" w:rsidRDefault="00D075C3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5C3" w:rsidRPr="00260889" w:rsidRDefault="00D075C3" w:rsidP="009B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D075C3" w:rsidRPr="00260889" w:rsidRDefault="00D075C3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5645"/>
        <w:gridCol w:w="2606"/>
        <w:gridCol w:w="2431"/>
      </w:tblGrid>
      <w:tr w:rsidR="00D075C3" w:rsidRPr="00B93CBB">
        <w:tc>
          <w:tcPr>
            <w:tcW w:w="2642" w:type="pct"/>
            <w:vAlign w:val="bottom"/>
          </w:tcPr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ответственного за подготовку проекта акта</w:t>
            </w:r>
          </w:p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А.В. Молчанов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инициалы, фамилия</w:t>
            </w:r>
            <w:r w:rsidRPr="00B93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24.04.2018</w:t>
            </w: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D075C3" w:rsidRPr="00B93CBB" w:rsidRDefault="00D075C3" w:rsidP="00B93CBB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5C3" w:rsidRPr="00B93CBB" w:rsidRDefault="00D075C3" w:rsidP="00B9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D075C3" w:rsidRPr="00260889" w:rsidRDefault="00D075C3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075C3" w:rsidRPr="00260889" w:rsidSect="00DD246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5C3" w:rsidRDefault="00D075C3" w:rsidP="00EA7CC1">
      <w:pPr>
        <w:spacing w:after="0" w:line="240" w:lineRule="auto"/>
      </w:pPr>
      <w:r>
        <w:separator/>
      </w:r>
    </w:p>
  </w:endnote>
  <w:endnote w:type="continuationSeparator" w:id="1">
    <w:p w:rsidR="00D075C3" w:rsidRDefault="00D075C3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5C3" w:rsidRDefault="00D075C3" w:rsidP="00EA7CC1">
      <w:pPr>
        <w:spacing w:after="0" w:line="240" w:lineRule="auto"/>
      </w:pPr>
      <w:r>
        <w:separator/>
      </w:r>
    </w:p>
  </w:footnote>
  <w:footnote w:type="continuationSeparator" w:id="1">
    <w:p w:rsidR="00D075C3" w:rsidRDefault="00D075C3" w:rsidP="00EA7CC1">
      <w:pPr>
        <w:spacing w:after="0" w:line="240" w:lineRule="auto"/>
      </w:pPr>
      <w:r>
        <w:continuationSeparator/>
      </w:r>
    </w:p>
  </w:footnote>
  <w:footnote w:id="2">
    <w:p w:rsidR="00D075C3" w:rsidRDefault="00D075C3" w:rsidP="00D445A1">
      <w:pPr>
        <w:pStyle w:val="FootnoteText"/>
      </w:pPr>
      <w:r>
        <w:rPr>
          <w:rStyle w:val="FootnoteReference"/>
        </w:rPr>
        <w:footnoteRef/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3">
    <w:p w:rsidR="00D075C3" w:rsidRDefault="00D075C3" w:rsidP="00D549FB">
      <w:pPr>
        <w:pStyle w:val="FootnoteText"/>
        <w:jc w:val="both"/>
      </w:pPr>
      <w:r>
        <w:rPr>
          <w:rStyle w:val="FootnoteReference"/>
        </w:rPr>
        <w:footnoteRef/>
      </w:r>
      <w:hyperlink r:id="rId1" w:history="1">
        <w:r w:rsidRPr="00622E68">
          <w:t>Стратегия</w:t>
        </w:r>
      </w:hyperlink>
      <w:r w:rsidRPr="00622E68"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4">
    <w:p w:rsidR="00D075C3" w:rsidRDefault="00D075C3" w:rsidP="00D549FB">
      <w:pPr>
        <w:pStyle w:val="FootnoteText"/>
        <w:jc w:val="both"/>
      </w:pPr>
      <w:r>
        <w:rPr>
          <w:rStyle w:val="FootnoteReference"/>
        </w:rPr>
        <w:footnoteRef/>
      </w:r>
      <w:r w:rsidRPr="00622E68"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</w:t>
      </w:r>
      <w:r>
        <w:t>, иные содержательные издержки.</w:t>
      </w:r>
    </w:p>
  </w:footnote>
  <w:footnote w:id="5">
    <w:p w:rsidR="00D075C3" w:rsidRDefault="00D075C3" w:rsidP="00D549FB">
      <w:pPr>
        <w:pStyle w:val="FootnoteText"/>
        <w:jc w:val="both"/>
      </w:pPr>
      <w:r>
        <w:rPr>
          <w:rStyle w:val="FootnoteReference"/>
        </w:rPr>
        <w:footnoteRef/>
      </w:r>
      <w:r w:rsidRPr="00232006"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6">
    <w:p w:rsidR="00D075C3" w:rsidRDefault="00D075C3">
      <w:pPr>
        <w:pStyle w:val="FootnoteText"/>
      </w:pPr>
      <w:r>
        <w:rPr>
          <w:rStyle w:val="FootnoteReference"/>
        </w:rPr>
        <w:footnoteRef/>
      </w:r>
      <w:r>
        <w:t>Налоговые льготы, субсидирование, иные льготы, выгоды, преимущества.</w:t>
      </w:r>
    </w:p>
  </w:footnote>
  <w:footnote w:id="7">
    <w:p w:rsidR="00D075C3" w:rsidRDefault="00D075C3" w:rsidP="00D445A1">
      <w:pPr>
        <w:pStyle w:val="FootnoteText"/>
      </w:pPr>
      <w:r>
        <w:rPr>
          <w:rStyle w:val="FootnoteReference"/>
        </w:rPr>
        <w:footnoteRef/>
      </w:r>
      <w:r w:rsidRPr="00F837C7">
        <w:t>Указываются данные из раздела 8 сводного отчета.</w:t>
      </w:r>
    </w:p>
  </w:footnote>
  <w:footnote w:id="8">
    <w:p w:rsidR="00D075C3" w:rsidRDefault="00D075C3" w:rsidP="00A463BE">
      <w:pPr>
        <w:pStyle w:val="FootnoteText"/>
      </w:pPr>
      <w:r>
        <w:rPr>
          <w:rStyle w:val="FootnoteReference"/>
        </w:rPr>
        <w:footnoteRef/>
      </w:r>
      <w:r w:rsidRPr="00F776B0">
        <w:t>Указываются данные из раздела 8 сводного отчета.</w:t>
      </w:r>
    </w:p>
  </w:footnote>
  <w:footnote w:id="9">
    <w:p w:rsidR="00D075C3" w:rsidRDefault="00D075C3" w:rsidP="00D445A1">
      <w:pPr>
        <w:pStyle w:val="FootnoteText"/>
      </w:pPr>
      <w:r>
        <w:rPr>
          <w:rStyle w:val="FootnoteReference"/>
        </w:rPr>
        <w:footnoteRef/>
      </w:r>
      <w:r w:rsidRPr="00F95A61">
        <w:t>Указываются данные из раздела 7 сводного отчета.</w:t>
      </w:r>
    </w:p>
  </w:footnote>
  <w:footnote w:id="10">
    <w:p w:rsidR="00D075C3" w:rsidRDefault="00D075C3" w:rsidP="00D445A1">
      <w:pPr>
        <w:pStyle w:val="FootnoteText"/>
      </w:pPr>
      <w:r>
        <w:rPr>
          <w:rStyle w:val="FootnoteReference"/>
        </w:rPr>
        <w:footnoteRef/>
      </w:r>
      <w:r w:rsidRPr="006007BA">
        <w:t>Указываются данные из раздела 7 сводного отчета.</w:t>
      </w:r>
    </w:p>
  </w:footnote>
  <w:footnote w:id="11">
    <w:p w:rsidR="00D075C3" w:rsidRDefault="00D075C3" w:rsidP="00D445A1">
      <w:pPr>
        <w:pStyle w:val="FootnoteText"/>
      </w:pPr>
      <w:r>
        <w:rPr>
          <w:rStyle w:val="FootnoteReference"/>
        </w:rPr>
        <w:footnoteRef/>
      </w:r>
      <w:r w:rsidRPr="001A71E6">
        <w:t>Указываются данные из раздела 10 сводного отчета.</w:t>
      </w:r>
    </w:p>
  </w:footnote>
  <w:footnote w:id="12">
    <w:p w:rsidR="00D075C3" w:rsidRDefault="00D075C3" w:rsidP="009578D4">
      <w:pPr>
        <w:pStyle w:val="FootnoteText"/>
      </w:pPr>
      <w:r>
        <w:rPr>
          <w:rStyle w:val="FootnoteReference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D075C3" w:rsidRDefault="00D075C3" w:rsidP="009578D4">
      <w:pPr>
        <w:pStyle w:val="FootnoteText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3">
    <w:p w:rsidR="00D075C3" w:rsidRDefault="00D075C3" w:rsidP="007D5192">
      <w:pPr>
        <w:pStyle w:val="FootnoteText"/>
      </w:pPr>
      <w:r>
        <w:rPr>
          <w:rStyle w:val="FootnoteReference"/>
        </w:rPr>
        <w:footnoteRef/>
      </w:r>
      <w:r w:rsidRPr="000F64B5">
        <w:t>Указываются данные из раздела 5 сводного отчета.</w:t>
      </w:r>
    </w:p>
  </w:footnote>
  <w:footnote w:id="14">
    <w:p w:rsidR="00D075C3" w:rsidRDefault="00D075C3">
      <w:pPr>
        <w:pStyle w:val="FootnoteText"/>
      </w:pPr>
      <w:r>
        <w:rPr>
          <w:rStyle w:val="FootnoteReference"/>
        </w:rPr>
        <w:footnoteRef/>
      </w:r>
      <w:r w:rsidRPr="00970A33">
        <w:t>Согласно пункту 21 Правил.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C3" w:rsidRDefault="00D075C3">
    <w:pPr>
      <w:pStyle w:val="Header"/>
      <w:jc w:val="center"/>
    </w:pPr>
    <w:fldSimple w:instr="PAGE   \* MERGEFORMAT">
      <w:r>
        <w:rPr>
          <w:noProof/>
        </w:rPr>
        <w:t>16</w:t>
      </w:r>
    </w:fldSimple>
  </w:p>
  <w:p w:rsidR="00D075C3" w:rsidRDefault="00D075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EF0"/>
    <w:multiLevelType w:val="multilevel"/>
    <w:tmpl w:val="502E8D7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2F5"/>
    <w:rsid w:val="00001BF0"/>
    <w:rsid w:val="00012467"/>
    <w:rsid w:val="00016814"/>
    <w:rsid w:val="00016EE4"/>
    <w:rsid w:val="00026EAA"/>
    <w:rsid w:val="0004601C"/>
    <w:rsid w:val="0005167F"/>
    <w:rsid w:val="000517A0"/>
    <w:rsid w:val="00052468"/>
    <w:rsid w:val="00054092"/>
    <w:rsid w:val="00067531"/>
    <w:rsid w:val="00074039"/>
    <w:rsid w:val="00083079"/>
    <w:rsid w:val="00086B68"/>
    <w:rsid w:val="00091128"/>
    <w:rsid w:val="00094E7B"/>
    <w:rsid w:val="000A0996"/>
    <w:rsid w:val="000A5E0C"/>
    <w:rsid w:val="000B0F0B"/>
    <w:rsid w:val="000B49CC"/>
    <w:rsid w:val="000B5BCE"/>
    <w:rsid w:val="000C7360"/>
    <w:rsid w:val="000C7C96"/>
    <w:rsid w:val="000D322F"/>
    <w:rsid w:val="000F11DA"/>
    <w:rsid w:val="000F5F46"/>
    <w:rsid w:val="000F64B5"/>
    <w:rsid w:val="000F7794"/>
    <w:rsid w:val="00104329"/>
    <w:rsid w:val="00111E3D"/>
    <w:rsid w:val="00112232"/>
    <w:rsid w:val="001147B0"/>
    <w:rsid w:val="00122467"/>
    <w:rsid w:val="00122E8B"/>
    <w:rsid w:val="00124502"/>
    <w:rsid w:val="00130589"/>
    <w:rsid w:val="00132FC6"/>
    <w:rsid w:val="00135D57"/>
    <w:rsid w:val="0014490D"/>
    <w:rsid w:val="00147D03"/>
    <w:rsid w:val="001701AA"/>
    <w:rsid w:val="00177425"/>
    <w:rsid w:val="001901A2"/>
    <w:rsid w:val="0019212D"/>
    <w:rsid w:val="00193A7B"/>
    <w:rsid w:val="00193B33"/>
    <w:rsid w:val="001A47DC"/>
    <w:rsid w:val="001A6E3C"/>
    <w:rsid w:val="001A71E6"/>
    <w:rsid w:val="001B27D8"/>
    <w:rsid w:val="001B2EBA"/>
    <w:rsid w:val="001C0184"/>
    <w:rsid w:val="001C1530"/>
    <w:rsid w:val="001C482E"/>
    <w:rsid w:val="001C4F41"/>
    <w:rsid w:val="001D1C05"/>
    <w:rsid w:val="001D2467"/>
    <w:rsid w:val="001D3F35"/>
    <w:rsid w:val="001E5609"/>
    <w:rsid w:val="001F061A"/>
    <w:rsid w:val="001F126C"/>
    <w:rsid w:val="001F1F10"/>
    <w:rsid w:val="001F3A99"/>
    <w:rsid w:val="00200339"/>
    <w:rsid w:val="0020278C"/>
    <w:rsid w:val="002209D3"/>
    <w:rsid w:val="00224583"/>
    <w:rsid w:val="00232006"/>
    <w:rsid w:val="00232741"/>
    <w:rsid w:val="00242AB0"/>
    <w:rsid w:val="00244CDC"/>
    <w:rsid w:val="00251F26"/>
    <w:rsid w:val="00253EAD"/>
    <w:rsid w:val="00255D42"/>
    <w:rsid w:val="00260889"/>
    <w:rsid w:val="0027040D"/>
    <w:rsid w:val="00284FDB"/>
    <w:rsid w:val="00286F6C"/>
    <w:rsid w:val="002909FB"/>
    <w:rsid w:val="00296137"/>
    <w:rsid w:val="002A016C"/>
    <w:rsid w:val="002A1943"/>
    <w:rsid w:val="002A3395"/>
    <w:rsid w:val="002A57D1"/>
    <w:rsid w:val="002B00DC"/>
    <w:rsid w:val="002C6F8B"/>
    <w:rsid w:val="002D0642"/>
    <w:rsid w:val="002D38F5"/>
    <w:rsid w:val="002E36DB"/>
    <w:rsid w:val="002F2EC6"/>
    <w:rsid w:val="002F7EEC"/>
    <w:rsid w:val="0030374D"/>
    <w:rsid w:val="0030395C"/>
    <w:rsid w:val="0030726C"/>
    <w:rsid w:val="00312C9E"/>
    <w:rsid w:val="003164B7"/>
    <w:rsid w:val="00317FD7"/>
    <w:rsid w:val="0032181E"/>
    <w:rsid w:val="003319D0"/>
    <w:rsid w:val="00334CCF"/>
    <w:rsid w:val="00344A57"/>
    <w:rsid w:val="003467FE"/>
    <w:rsid w:val="00360BE6"/>
    <w:rsid w:val="00365416"/>
    <w:rsid w:val="00365882"/>
    <w:rsid w:val="00365D61"/>
    <w:rsid w:val="00366A67"/>
    <w:rsid w:val="003764D7"/>
    <w:rsid w:val="00384CAC"/>
    <w:rsid w:val="00385B74"/>
    <w:rsid w:val="00385CB1"/>
    <w:rsid w:val="00386D30"/>
    <w:rsid w:val="0039010E"/>
    <w:rsid w:val="003913FB"/>
    <w:rsid w:val="00391420"/>
    <w:rsid w:val="003946A3"/>
    <w:rsid w:val="0039529B"/>
    <w:rsid w:val="003A11BE"/>
    <w:rsid w:val="003B4ED5"/>
    <w:rsid w:val="003D7356"/>
    <w:rsid w:val="003E2C1B"/>
    <w:rsid w:val="003F05E6"/>
    <w:rsid w:val="003F1285"/>
    <w:rsid w:val="0040069A"/>
    <w:rsid w:val="00405D3E"/>
    <w:rsid w:val="004073BB"/>
    <w:rsid w:val="004129F9"/>
    <w:rsid w:val="004138C2"/>
    <w:rsid w:val="00420825"/>
    <w:rsid w:val="00427FE0"/>
    <w:rsid w:val="00432398"/>
    <w:rsid w:val="0043497F"/>
    <w:rsid w:val="0043560E"/>
    <w:rsid w:val="004375AB"/>
    <w:rsid w:val="004523AA"/>
    <w:rsid w:val="00454001"/>
    <w:rsid w:val="00460F7A"/>
    <w:rsid w:val="00462C44"/>
    <w:rsid w:val="00464DC7"/>
    <w:rsid w:val="00466BB9"/>
    <w:rsid w:val="00467996"/>
    <w:rsid w:val="00471D4A"/>
    <w:rsid w:val="00473026"/>
    <w:rsid w:val="00480BE5"/>
    <w:rsid w:val="004928CC"/>
    <w:rsid w:val="00493696"/>
    <w:rsid w:val="00494594"/>
    <w:rsid w:val="00497163"/>
    <w:rsid w:val="004B0752"/>
    <w:rsid w:val="004B1E9F"/>
    <w:rsid w:val="004C2EC5"/>
    <w:rsid w:val="004C6292"/>
    <w:rsid w:val="004D369A"/>
    <w:rsid w:val="00500365"/>
    <w:rsid w:val="00503DBC"/>
    <w:rsid w:val="00545FA8"/>
    <w:rsid w:val="00550082"/>
    <w:rsid w:val="00551959"/>
    <w:rsid w:val="0055456B"/>
    <w:rsid w:val="005545B8"/>
    <w:rsid w:val="00556780"/>
    <w:rsid w:val="005647D0"/>
    <w:rsid w:val="005704E5"/>
    <w:rsid w:val="005704E6"/>
    <w:rsid w:val="0057160A"/>
    <w:rsid w:val="0057574B"/>
    <w:rsid w:val="005760AA"/>
    <w:rsid w:val="00583BE6"/>
    <w:rsid w:val="0059058F"/>
    <w:rsid w:val="00596B85"/>
    <w:rsid w:val="005B6FF3"/>
    <w:rsid w:val="005B7270"/>
    <w:rsid w:val="005C3AB9"/>
    <w:rsid w:val="005C4985"/>
    <w:rsid w:val="005F507C"/>
    <w:rsid w:val="006007BA"/>
    <w:rsid w:val="0060147B"/>
    <w:rsid w:val="006063F9"/>
    <w:rsid w:val="00607FB1"/>
    <w:rsid w:val="00610E87"/>
    <w:rsid w:val="0061277E"/>
    <w:rsid w:val="00614BC2"/>
    <w:rsid w:val="00622601"/>
    <w:rsid w:val="00622E68"/>
    <w:rsid w:val="006264E3"/>
    <w:rsid w:val="006269E8"/>
    <w:rsid w:val="00631B46"/>
    <w:rsid w:val="00634039"/>
    <w:rsid w:val="00640EEB"/>
    <w:rsid w:val="006418E5"/>
    <w:rsid w:val="00644A74"/>
    <w:rsid w:val="00645871"/>
    <w:rsid w:val="006535E0"/>
    <w:rsid w:val="00664D22"/>
    <w:rsid w:val="00677A82"/>
    <w:rsid w:val="006862D4"/>
    <w:rsid w:val="00695DAA"/>
    <w:rsid w:val="006A6486"/>
    <w:rsid w:val="006B2A6F"/>
    <w:rsid w:val="006B7124"/>
    <w:rsid w:val="006C5A81"/>
    <w:rsid w:val="006E6500"/>
    <w:rsid w:val="006E75DE"/>
    <w:rsid w:val="006F2DDA"/>
    <w:rsid w:val="006F5DC5"/>
    <w:rsid w:val="007004B7"/>
    <w:rsid w:val="00700A1D"/>
    <w:rsid w:val="00700DD9"/>
    <w:rsid w:val="007109BD"/>
    <w:rsid w:val="00714902"/>
    <w:rsid w:val="0072279F"/>
    <w:rsid w:val="007227A9"/>
    <w:rsid w:val="00727857"/>
    <w:rsid w:val="00727FFB"/>
    <w:rsid w:val="0073147A"/>
    <w:rsid w:val="007532C9"/>
    <w:rsid w:val="007652BA"/>
    <w:rsid w:val="00765368"/>
    <w:rsid w:val="00765D79"/>
    <w:rsid w:val="00767B87"/>
    <w:rsid w:val="00770DF5"/>
    <w:rsid w:val="0077190A"/>
    <w:rsid w:val="00777AB2"/>
    <w:rsid w:val="00781C2C"/>
    <w:rsid w:val="007848DD"/>
    <w:rsid w:val="007940C7"/>
    <w:rsid w:val="007A0D77"/>
    <w:rsid w:val="007C4424"/>
    <w:rsid w:val="007C5301"/>
    <w:rsid w:val="007D0451"/>
    <w:rsid w:val="007D5192"/>
    <w:rsid w:val="007E19D3"/>
    <w:rsid w:val="007E1F9A"/>
    <w:rsid w:val="007E3646"/>
    <w:rsid w:val="007E3921"/>
    <w:rsid w:val="007F20FC"/>
    <w:rsid w:val="007F35A2"/>
    <w:rsid w:val="007F3DEA"/>
    <w:rsid w:val="00802E60"/>
    <w:rsid w:val="0080608F"/>
    <w:rsid w:val="00810F20"/>
    <w:rsid w:val="00811DBC"/>
    <w:rsid w:val="00823A56"/>
    <w:rsid w:val="00824E3A"/>
    <w:rsid w:val="008325D9"/>
    <w:rsid w:val="0083358C"/>
    <w:rsid w:val="00833E89"/>
    <w:rsid w:val="00842B4E"/>
    <w:rsid w:val="0084552A"/>
    <w:rsid w:val="0084560F"/>
    <w:rsid w:val="00845A4D"/>
    <w:rsid w:val="00850D6B"/>
    <w:rsid w:val="00851F26"/>
    <w:rsid w:val="0085648D"/>
    <w:rsid w:val="00860F03"/>
    <w:rsid w:val="00864312"/>
    <w:rsid w:val="00875321"/>
    <w:rsid w:val="00875DF6"/>
    <w:rsid w:val="00891221"/>
    <w:rsid w:val="008917B8"/>
    <w:rsid w:val="00891BF4"/>
    <w:rsid w:val="0089208D"/>
    <w:rsid w:val="008932A7"/>
    <w:rsid w:val="0089337B"/>
    <w:rsid w:val="008A1083"/>
    <w:rsid w:val="008A33BF"/>
    <w:rsid w:val="008B3017"/>
    <w:rsid w:val="008C1760"/>
    <w:rsid w:val="008D0773"/>
    <w:rsid w:val="008D6E4E"/>
    <w:rsid w:val="008F7BE0"/>
    <w:rsid w:val="009000E9"/>
    <w:rsid w:val="00903A82"/>
    <w:rsid w:val="00906A0A"/>
    <w:rsid w:val="009157D2"/>
    <w:rsid w:val="00917B14"/>
    <w:rsid w:val="00917DEB"/>
    <w:rsid w:val="009341C8"/>
    <w:rsid w:val="00940218"/>
    <w:rsid w:val="00942D15"/>
    <w:rsid w:val="00944BDC"/>
    <w:rsid w:val="0095123C"/>
    <w:rsid w:val="009537E6"/>
    <w:rsid w:val="009578D4"/>
    <w:rsid w:val="00960706"/>
    <w:rsid w:val="00970A33"/>
    <w:rsid w:val="00976C6C"/>
    <w:rsid w:val="00994B1E"/>
    <w:rsid w:val="00994EF7"/>
    <w:rsid w:val="009A3357"/>
    <w:rsid w:val="009A7730"/>
    <w:rsid w:val="009B0E7B"/>
    <w:rsid w:val="009C68E0"/>
    <w:rsid w:val="009D19DD"/>
    <w:rsid w:val="009D556B"/>
    <w:rsid w:val="009E3485"/>
    <w:rsid w:val="009E6102"/>
    <w:rsid w:val="009F51CE"/>
    <w:rsid w:val="009F6320"/>
    <w:rsid w:val="00A039A7"/>
    <w:rsid w:val="00A03ACD"/>
    <w:rsid w:val="00A07E45"/>
    <w:rsid w:val="00A1076A"/>
    <w:rsid w:val="00A14154"/>
    <w:rsid w:val="00A14BB6"/>
    <w:rsid w:val="00A15AB1"/>
    <w:rsid w:val="00A20CE4"/>
    <w:rsid w:val="00A23C04"/>
    <w:rsid w:val="00A25B00"/>
    <w:rsid w:val="00A335AF"/>
    <w:rsid w:val="00A37A7C"/>
    <w:rsid w:val="00A37BEF"/>
    <w:rsid w:val="00A419BD"/>
    <w:rsid w:val="00A463BE"/>
    <w:rsid w:val="00A56296"/>
    <w:rsid w:val="00A56405"/>
    <w:rsid w:val="00A60609"/>
    <w:rsid w:val="00A72484"/>
    <w:rsid w:val="00A822C2"/>
    <w:rsid w:val="00A832EA"/>
    <w:rsid w:val="00A8482F"/>
    <w:rsid w:val="00A91146"/>
    <w:rsid w:val="00AA462F"/>
    <w:rsid w:val="00AA7987"/>
    <w:rsid w:val="00AB1503"/>
    <w:rsid w:val="00AB4CD7"/>
    <w:rsid w:val="00AC38D6"/>
    <w:rsid w:val="00AC39E4"/>
    <w:rsid w:val="00AC40C5"/>
    <w:rsid w:val="00AD6419"/>
    <w:rsid w:val="00AD70E7"/>
    <w:rsid w:val="00AE6E2D"/>
    <w:rsid w:val="00AE750E"/>
    <w:rsid w:val="00AF0889"/>
    <w:rsid w:val="00AF321C"/>
    <w:rsid w:val="00B06DEE"/>
    <w:rsid w:val="00B06E11"/>
    <w:rsid w:val="00B078A8"/>
    <w:rsid w:val="00B2089D"/>
    <w:rsid w:val="00B410FF"/>
    <w:rsid w:val="00B44466"/>
    <w:rsid w:val="00B50ADC"/>
    <w:rsid w:val="00B66DC4"/>
    <w:rsid w:val="00B83F21"/>
    <w:rsid w:val="00B8497B"/>
    <w:rsid w:val="00B93CBB"/>
    <w:rsid w:val="00B97069"/>
    <w:rsid w:val="00BB1753"/>
    <w:rsid w:val="00BB2E8D"/>
    <w:rsid w:val="00BB7FB0"/>
    <w:rsid w:val="00BD2110"/>
    <w:rsid w:val="00BD36FB"/>
    <w:rsid w:val="00BD5C91"/>
    <w:rsid w:val="00BD65F9"/>
    <w:rsid w:val="00C02C08"/>
    <w:rsid w:val="00C031E5"/>
    <w:rsid w:val="00C13576"/>
    <w:rsid w:val="00C23AF8"/>
    <w:rsid w:val="00C23E8D"/>
    <w:rsid w:val="00C37871"/>
    <w:rsid w:val="00C403E6"/>
    <w:rsid w:val="00C47EB9"/>
    <w:rsid w:val="00C5033F"/>
    <w:rsid w:val="00C56C8E"/>
    <w:rsid w:val="00C61463"/>
    <w:rsid w:val="00C6418E"/>
    <w:rsid w:val="00C72559"/>
    <w:rsid w:val="00C767C8"/>
    <w:rsid w:val="00C77C42"/>
    <w:rsid w:val="00C80154"/>
    <w:rsid w:val="00C86CD0"/>
    <w:rsid w:val="00C905D6"/>
    <w:rsid w:val="00C91399"/>
    <w:rsid w:val="00C97D92"/>
    <w:rsid w:val="00CB1AE3"/>
    <w:rsid w:val="00CB25B4"/>
    <w:rsid w:val="00CB2CD6"/>
    <w:rsid w:val="00CB3165"/>
    <w:rsid w:val="00CB4454"/>
    <w:rsid w:val="00CB6CA0"/>
    <w:rsid w:val="00CC0977"/>
    <w:rsid w:val="00CD2F17"/>
    <w:rsid w:val="00CE0CCD"/>
    <w:rsid w:val="00CE6930"/>
    <w:rsid w:val="00CF19AA"/>
    <w:rsid w:val="00CF3BAE"/>
    <w:rsid w:val="00CF41E0"/>
    <w:rsid w:val="00CF7FE2"/>
    <w:rsid w:val="00D02AB9"/>
    <w:rsid w:val="00D0506A"/>
    <w:rsid w:val="00D0523E"/>
    <w:rsid w:val="00D07276"/>
    <w:rsid w:val="00D075C3"/>
    <w:rsid w:val="00D111E9"/>
    <w:rsid w:val="00D11D17"/>
    <w:rsid w:val="00D13298"/>
    <w:rsid w:val="00D21DBD"/>
    <w:rsid w:val="00D226BA"/>
    <w:rsid w:val="00D241D6"/>
    <w:rsid w:val="00D26176"/>
    <w:rsid w:val="00D41136"/>
    <w:rsid w:val="00D4186E"/>
    <w:rsid w:val="00D445A1"/>
    <w:rsid w:val="00D47F1A"/>
    <w:rsid w:val="00D50A09"/>
    <w:rsid w:val="00D5110E"/>
    <w:rsid w:val="00D549FB"/>
    <w:rsid w:val="00D63497"/>
    <w:rsid w:val="00D64297"/>
    <w:rsid w:val="00D652BD"/>
    <w:rsid w:val="00D65E05"/>
    <w:rsid w:val="00D85106"/>
    <w:rsid w:val="00D87D08"/>
    <w:rsid w:val="00D91C6E"/>
    <w:rsid w:val="00D97422"/>
    <w:rsid w:val="00DA0635"/>
    <w:rsid w:val="00DA3AB5"/>
    <w:rsid w:val="00DA41DE"/>
    <w:rsid w:val="00DB010D"/>
    <w:rsid w:val="00DB620F"/>
    <w:rsid w:val="00DC1DC5"/>
    <w:rsid w:val="00DC45EC"/>
    <w:rsid w:val="00DC6068"/>
    <w:rsid w:val="00DD2469"/>
    <w:rsid w:val="00DD7554"/>
    <w:rsid w:val="00DE14CD"/>
    <w:rsid w:val="00DE15A4"/>
    <w:rsid w:val="00DE312E"/>
    <w:rsid w:val="00DE6162"/>
    <w:rsid w:val="00DF07CE"/>
    <w:rsid w:val="00DF08A4"/>
    <w:rsid w:val="00DF3507"/>
    <w:rsid w:val="00DF427F"/>
    <w:rsid w:val="00DF7165"/>
    <w:rsid w:val="00E03E42"/>
    <w:rsid w:val="00E07CB9"/>
    <w:rsid w:val="00E20B7A"/>
    <w:rsid w:val="00E23A11"/>
    <w:rsid w:val="00E2558A"/>
    <w:rsid w:val="00E316A9"/>
    <w:rsid w:val="00E31B2D"/>
    <w:rsid w:val="00E321DE"/>
    <w:rsid w:val="00E327F0"/>
    <w:rsid w:val="00E37259"/>
    <w:rsid w:val="00E438DB"/>
    <w:rsid w:val="00E50774"/>
    <w:rsid w:val="00E52D13"/>
    <w:rsid w:val="00E53F95"/>
    <w:rsid w:val="00E57FA6"/>
    <w:rsid w:val="00E60E58"/>
    <w:rsid w:val="00E7259D"/>
    <w:rsid w:val="00E74ADB"/>
    <w:rsid w:val="00E77370"/>
    <w:rsid w:val="00E915C2"/>
    <w:rsid w:val="00E919DF"/>
    <w:rsid w:val="00E91E46"/>
    <w:rsid w:val="00EA3BEA"/>
    <w:rsid w:val="00EA54F9"/>
    <w:rsid w:val="00EA7CC1"/>
    <w:rsid w:val="00EB09E1"/>
    <w:rsid w:val="00EB7FFC"/>
    <w:rsid w:val="00EC5E21"/>
    <w:rsid w:val="00EC6B41"/>
    <w:rsid w:val="00ED624E"/>
    <w:rsid w:val="00EE7507"/>
    <w:rsid w:val="00EF1EE9"/>
    <w:rsid w:val="00EF46E3"/>
    <w:rsid w:val="00EF70F0"/>
    <w:rsid w:val="00F00351"/>
    <w:rsid w:val="00F04F64"/>
    <w:rsid w:val="00F06370"/>
    <w:rsid w:val="00F07023"/>
    <w:rsid w:val="00F1288D"/>
    <w:rsid w:val="00F13C2C"/>
    <w:rsid w:val="00F177DB"/>
    <w:rsid w:val="00F17B33"/>
    <w:rsid w:val="00F27C60"/>
    <w:rsid w:val="00F36D25"/>
    <w:rsid w:val="00F402DE"/>
    <w:rsid w:val="00F4073B"/>
    <w:rsid w:val="00F43906"/>
    <w:rsid w:val="00F5109F"/>
    <w:rsid w:val="00F53F88"/>
    <w:rsid w:val="00F54936"/>
    <w:rsid w:val="00F63436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0995"/>
    <w:rsid w:val="00FC3021"/>
    <w:rsid w:val="00FC5866"/>
    <w:rsid w:val="00FD21EC"/>
    <w:rsid w:val="00FD3A27"/>
    <w:rsid w:val="00FF30C4"/>
    <w:rsid w:val="00FF38CB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F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0E7B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0E7B"/>
    <w:rPr>
      <w:rFonts w:ascii="Calibri Light" w:hAnsi="Calibri Light" w:cs="Calibri Light"/>
      <w:color w:val="2E74B5"/>
      <w:sz w:val="32"/>
      <w:szCs w:val="32"/>
    </w:rPr>
  </w:style>
  <w:style w:type="table" w:styleId="TableGrid">
    <w:name w:val="Table Grid"/>
    <w:basedOn w:val="TableNormal"/>
    <w:uiPriority w:val="99"/>
    <w:rsid w:val="00EB09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319D0"/>
    <w:pPr>
      <w:ind w:left="720"/>
    </w:pPr>
  </w:style>
  <w:style w:type="paragraph" w:styleId="Header">
    <w:name w:val="header"/>
    <w:basedOn w:val="Normal"/>
    <w:link w:val="HeaderChar"/>
    <w:uiPriority w:val="99"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7CC1"/>
  </w:style>
  <w:style w:type="paragraph" w:styleId="Footer">
    <w:name w:val="footer"/>
    <w:basedOn w:val="Normal"/>
    <w:link w:val="FooterChar"/>
    <w:uiPriority w:val="99"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7CC1"/>
  </w:style>
  <w:style w:type="paragraph" w:styleId="FootnoteText">
    <w:name w:val="footnote text"/>
    <w:basedOn w:val="Normal"/>
    <w:link w:val="FootnoteTextChar"/>
    <w:uiPriority w:val="99"/>
    <w:semiHidden/>
    <w:rsid w:val="00DE31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E31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E312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445A1"/>
    <w:rPr>
      <w:color w:val="808080"/>
    </w:rPr>
  </w:style>
  <w:style w:type="table" w:customStyle="1" w:styleId="10">
    <w:name w:val="Сетка таблицы1"/>
    <w:uiPriority w:val="99"/>
    <w:rsid w:val="00A463B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Heading1"/>
    <w:next w:val="Normal"/>
    <w:link w:val="TitleChar"/>
    <w:uiPriority w:val="99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hAnsi="Times New Roman" w:cs="Times New Roman"/>
      <w:color w:val="auto"/>
      <w:kern w:val="32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B0E7B"/>
    <w:rPr>
      <w:rFonts w:ascii="Times New Roman" w:hAnsi="Times New Roman" w:cs="Times New Roman"/>
      <w:kern w:val="32"/>
      <w:sz w:val="28"/>
      <w:szCs w:val="28"/>
      <w:lang w:eastAsia="ru-RU"/>
    </w:rPr>
  </w:style>
  <w:style w:type="paragraph" w:customStyle="1" w:styleId="1">
    <w:name w:val="Название1"/>
    <w:basedOn w:val="Title"/>
    <w:uiPriority w:val="99"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 w:cs="Cambri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16</Pages>
  <Words>4252</Words>
  <Characters>24237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Алексей Мариняк</dc:creator>
  <cp:keywords/>
  <dc:description/>
  <cp:lastModifiedBy>Mikhaeva</cp:lastModifiedBy>
  <cp:revision>2</cp:revision>
  <dcterms:created xsi:type="dcterms:W3CDTF">2018-08-31T09:11:00Z</dcterms:created>
  <dcterms:modified xsi:type="dcterms:W3CDTF">2018-08-31T09:11:00Z</dcterms:modified>
</cp:coreProperties>
</file>