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rPr>
          <w:sz w:val="26"/>
          <w:szCs w:val="26"/>
        </w:rPr>
      </w:pPr>
      <w:r>
        <w:rPr>
          <w:sz w:val="26"/>
          <w:szCs w:val="26"/>
        </w:rPr>
      </w:r>
    </w:p>
    <w:p>
      <w:pPr>
        <w:pStyle w:val="NormalWeb"/>
        <w:spacing w:beforeAutospacing="0" w:before="0" w:afterAutospacing="0" w:after="0"/>
        <w:jc w:val="right"/>
        <w:rPr>
          <w:sz w:val="26"/>
          <w:szCs w:val="26"/>
        </w:rPr>
      </w:pPr>
      <w:r>
        <w:rPr>
          <w:sz w:val="26"/>
          <w:szCs w:val="26"/>
        </w:rPr>
        <w:t>От 19.07.2019 № 23657-ВЖ/Д26и</w:t>
      </w:r>
    </w:p>
    <w:p>
      <w:pPr>
        <w:pStyle w:val="NormalWeb"/>
        <w:spacing w:beforeAutospacing="0" w:before="0" w:afterAutospacing="0" w:after="0"/>
        <w:rPr>
          <w:sz w:val="26"/>
          <w:szCs w:val="26"/>
        </w:rPr>
      </w:pPr>
      <w:r>
        <w:rPr>
          <w:sz w:val="26"/>
          <w:szCs w:val="26"/>
        </w:rPr>
      </w:r>
    </w:p>
    <w:p>
      <w:pPr>
        <w:pStyle w:val="Normal"/>
        <w:spacing w:lineRule="auto" w:line="360"/>
        <w:jc w:val="center"/>
        <w:rPr>
          <w:sz w:val="26"/>
          <w:szCs w:val="26"/>
        </w:rPr>
      </w:pPr>
      <w:r>
        <w:rPr>
          <w:sz w:val="26"/>
          <w:szCs w:val="26"/>
        </w:rPr>
        <w:t xml:space="preserve">ЗАКЛЮЧЕНИЕ </w:t>
      </w:r>
    </w:p>
    <w:p>
      <w:pPr>
        <w:pStyle w:val="Normal"/>
        <w:jc w:val="center"/>
        <w:rPr>
          <w:sz w:val="26"/>
          <w:szCs w:val="26"/>
        </w:rPr>
      </w:pPr>
      <w:r>
        <w:rPr>
          <w:sz w:val="26"/>
          <w:szCs w:val="26"/>
        </w:rPr>
        <w:t>об оценке регулирующего воздействия</w:t>
      </w:r>
    </w:p>
    <w:p>
      <w:pPr>
        <w:pStyle w:val="Normal"/>
        <w:jc w:val="center"/>
        <w:rPr>
          <w:sz w:val="26"/>
          <w:szCs w:val="26"/>
        </w:rPr>
      </w:pPr>
      <w:r>
        <w:rPr>
          <w:sz w:val="26"/>
          <w:szCs w:val="26"/>
        </w:rPr>
        <w:t>на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rPr/>
      </w:pPr>
      <w:r>
        <w:rPr/>
      </w:r>
    </w:p>
    <w:p>
      <w:pPr>
        <w:pStyle w:val="Normal"/>
        <w:spacing w:lineRule="auto" w:line="360"/>
        <w:ind w:firstLine="709"/>
        <w:jc w:val="both"/>
        <w:rPr/>
      </w:pPr>
      <w:r>
        <w:rPr>
          <w:sz w:val="26"/>
          <w:szCs w:val="26"/>
        </w:rPr>
        <w:t xml:space="preserve">Минэкономразвития России в соответствии с разделом </w:t>
      </w:r>
      <w:r>
        <w:rPr>
          <w:sz w:val="26"/>
          <w:szCs w:val="26"/>
          <w:lang w:val="en-US"/>
        </w:rPr>
        <w:t>I</w:t>
      </w:r>
      <w:r>
        <w:rPr>
          <w:sz w:val="26"/>
          <w:szCs w:val="26"/>
        </w:rPr>
        <w:t xml:space="preserve">V </w:t>
      </w:r>
      <w:hyperlink r:id="rId2">
        <w:r>
          <w:rPr>
            <w:rStyle w:val="ListLabel15"/>
            <w:sz w:val="26"/>
            <w:szCs w:val="26"/>
          </w:rPr>
          <w:t>Правил</w:t>
        </w:r>
      </w:hyperlink>
      <w:r>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br/>
        <w:t>от 17 декабря 2012 г. № 1318 (далее – правила проведения оценки регулирующего воздействия), рассмотрело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проект акта), подготовленный и направленный для подготовки настоящего заключения Минфином России (далее - разработчик), и сообщает следующее.</w:t>
      </w:r>
    </w:p>
    <w:p>
      <w:pPr>
        <w:pStyle w:val="Normal"/>
        <w:spacing w:lineRule="auto" w:line="360"/>
        <w:ind w:firstLine="709"/>
        <w:jc w:val="both"/>
        <w:rPr/>
      </w:pPr>
      <w:r>
        <w:rPr>
          <w:sz w:val="26"/>
          <w:szCs w:val="26"/>
        </w:rPr>
        <w:t xml:space="preserve">По результатам рассмотрения установлено, что при подготовке проекта акта процедуры, предусмотренные </w:t>
      </w:r>
      <w:hyperlink r:id="rId3">
        <w:r>
          <w:rPr>
            <w:rStyle w:val="ListLabel15"/>
            <w:sz w:val="26"/>
            <w:szCs w:val="26"/>
          </w:rPr>
          <w:t>пунктами 9</w:t>
        </w:r>
      </w:hyperlink>
      <w:r>
        <w:rPr>
          <w:sz w:val="26"/>
          <w:szCs w:val="26"/>
        </w:rPr>
        <w:t xml:space="preserve"> - </w:t>
      </w:r>
      <w:hyperlink r:id="rId4">
        <w:r>
          <w:rPr>
            <w:rStyle w:val="ListLabel15"/>
            <w:sz w:val="26"/>
            <w:szCs w:val="26"/>
          </w:rPr>
          <w:t>23</w:t>
        </w:r>
      </w:hyperlink>
      <w:r>
        <w:rPr>
          <w:sz w:val="26"/>
          <w:szCs w:val="26"/>
        </w:rPr>
        <w:t xml:space="preserve"> правил проведения оценки регулирующего воздействия, разработчиком соблюдены. </w:t>
      </w:r>
    </w:p>
    <w:p>
      <w:pPr>
        <w:pStyle w:val="Normal"/>
        <w:spacing w:lineRule="auto" w:line="360"/>
        <w:ind w:firstLine="709"/>
        <w:jc w:val="both"/>
        <w:rPr>
          <w:sz w:val="26"/>
          <w:szCs w:val="26"/>
        </w:rPr>
      </w:pPr>
      <w:r>
        <w:rPr>
          <w:sz w:val="26"/>
          <w:szCs w:val="26"/>
        </w:rPr>
        <w:t>Проект акта направлен разработчиком для подготовки настоящего заключения впервые.</w:t>
      </w:r>
    </w:p>
    <w:p>
      <w:pPr>
        <w:pStyle w:val="Normal"/>
        <w:spacing w:lineRule="auto" w:line="360"/>
        <w:ind w:firstLine="709"/>
        <w:jc w:val="both"/>
        <w:rPr>
          <w:sz w:val="26"/>
          <w:szCs w:val="26"/>
        </w:rPr>
      </w:pPr>
      <w:r>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http://regulation.gov.ru (</w:t>
      </w:r>
      <w:r>
        <w:rPr>
          <w:sz w:val="26"/>
          <w:szCs w:val="26"/>
          <w:lang w:val="en-US"/>
        </w:rPr>
        <w:t>ID</w:t>
      </w:r>
      <w:r>
        <w:rPr>
          <w:sz w:val="26"/>
          <w:szCs w:val="26"/>
        </w:rPr>
        <w:t xml:space="preserve"> проекта акта 02/04/06-19/00091832). </w:t>
      </w:r>
    </w:p>
    <w:p>
      <w:pPr>
        <w:pStyle w:val="Normal"/>
        <w:spacing w:lineRule="auto" w:line="360"/>
        <w:ind w:firstLine="709"/>
        <w:jc w:val="both"/>
        <w:rPr>
          <w:sz w:val="26"/>
          <w:szCs w:val="26"/>
        </w:rPr>
      </w:pPr>
      <w:r>
        <w:rPr>
          <w:sz w:val="26"/>
          <w:szCs w:val="26"/>
        </w:rPr>
        <w:t>Разработчиком проведены публичные обсуждения проекта акта и сводного отчета в срок с 3 по 24 июня 2019 г.</w:t>
      </w:r>
    </w:p>
    <w:p>
      <w:pPr>
        <w:pStyle w:val="Normal"/>
        <w:spacing w:lineRule="auto" w:line="360"/>
        <w:ind w:firstLine="709"/>
        <w:jc w:val="both"/>
        <w:rPr>
          <w:sz w:val="26"/>
          <w:szCs w:val="26"/>
        </w:rPr>
      </w:pPr>
      <w:r>
        <w:rPr>
          <w:sz w:val="26"/>
          <w:szCs w:val="26"/>
        </w:rPr>
        <w:t>Разработчиком представлена сводка предложений по итогам размещения текста проекта акта, в которой представлены сведения об учете или причинах отклонения представленных в рамках публичного обсуждения проекта акта, замечаний и предложений.</w:t>
      </w:r>
    </w:p>
    <w:p>
      <w:pPr>
        <w:pStyle w:val="Normal"/>
        <w:spacing w:lineRule="auto" w:line="360"/>
        <w:ind w:firstLine="709"/>
        <w:jc w:val="both"/>
        <w:rPr>
          <w:sz w:val="26"/>
          <w:szCs w:val="26"/>
        </w:rPr>
      </w:pPr>
      <w:r>
        <w:rPr>
          <w:sz w:val="26"/>
          <w:szCs w:val="26"/>
        </w:rPr>
        <w:t xml:space="preserve">В соответствии с пунктом 28 Правил Минэкономразвития России с 4 по 12 июля 2019 г. провело дополнительные публичные консультации с субъектами предпринимательской и иной деятельности. </w:t>
      </w:r>
    </w:p>
    <w:p>
      <w:pPr>
        <w:pStyle w:val="Normal"/>
        <w:spacing w:lineRule="auto" w:line="360"/>
        <w:ind w:firstLine="709"/>
        <w:jc w:val="both"/>
        <w:rPr>
          <w:sz w:val="26"/>
          <w:szCs w:val="26"/>
        </w:rPr>
      </w:pPr>
      <w:r>
        <w:rPr>
          <w:sz w:val="26"/>
          <w:szCs w:val="26"/>
        </w:rPr>
        <w:t xml:space="preserve">Соответствующие запросы были направлены в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w:t>
        <w:br/>
        <w:t>и другие.</w:t>
      </w:r>
    </w:p>
    <w:p>
      <w:pPr>
        <w:pStyle w:val="Normal"/>
        <w:spacing w:lineRule="auto" w:line="360"/>
        <w:ind w:firstLine="709"/>
        <w:jc w:val="both"/>
        <w:rPr>
          <w:sz w:val="26"/>
          <w:szCs w:val="26"/>
        </w:rPr>
      </w:pPr>
      <w:r>
        <w:rPr>
          <w:sz w:val="26"/>
          <w:szCs w:val="26"/>
        </w:rPr>
        <w:t>По результатам публичных консультаций АО «Татспиртпром», СРО «Винодельческий союз», Х5 Retail Group сообщили об отсутствии предложений и замечаний. ЗАО «Игристые вина» направило замечания к проектируемому регулированию (справка прилагается).</w:t>
      </w:r>
    </w:p>
    <w:p>
      <w:pPr>
        <w:pStyle w:val="Normal"/>
        <w:numPr>
          <w:ilvl w:val="0"/>
          <w:numId w:val="1"/>
        </w:numPr>
        <w:spacing w:lineRule="auto" w:line="360"/>
        <w:ind w:left="0" w:firstLine="709"/>
        <w:jc w:val="both"/>
        <w:rPr>
          <w:sz w:val="26"/>
          <w:szCs w:val="26"/>
        </w:rPr>
      </w:pPr>
      <w:r>
        <w:rPr>
          <w:sz w:val="26"/>
          <w:szCs w:val="26"/>
        </w:rPr>
        <w:t xml:space="preserve">Проектом акта предлагается внести изменения в Федеральный закон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 171-ФЗ), устанавливающие, что  государственный контроль (надзор) в области производства и оборота этилового спирта, алкогольной и спиртосодержащей продукции включает федеральный государственный контроль (надзор) в области производства и оборота этилового спирта, алкогольной и спиртосодержащей продукции (далее – ФГК(Н)) и региональный государственный контроль (надзор) в области розничной продажи алкогольной и спиртосодержащей продукции (далее – РГК(Н)). </w:t>
      </w:r>
    </w:p>
    <w:p>
      <w:pPr>
        <w:pStyle w:val="Normal"/>
        <w:spacing w:lineRule="auto" w:line="360"/>
        <w:ind w:firstLine="709"/>
        <w:jc w:val="both"/>
        <w:rPr>
          <w:sz w:val="26"/>
          <w:szCs w:val="26"/>
        </w:rPr>
      </w:pPr>
      <w:r>
        <w:rPr>
          <w:sz w:val="26"/>
          <w:szCs w:val="26"/>
        </w:rPr>
        <w:t>Согласно проектируемым изменениям пункта 1.1, 1.2 статьи 23 Закона № 171-ФЗ ФГК(Н) и РГК(Н) включают отдельные «направления».</w:t>
      </w:r>
    </w:p>
    <w:p>
      <w:pPr>
        <w:pStyle w:val="Normal"/>
        <w:spacing w:lineRule="auto" w:line="360"/>
        <w:ind w:firstLine="709"/>
        <w:jc w:val="both"/>
        <w:rPr>
          <w:sz w:val="26"/>
          <w:szCs w:val="26"/>
        </w:rPr>
      </w:pPr>
      <w:r>
        <w:rPr>
          <w:sz w:val="26"/>
          <w:szCs w:val="26"/>
        </w:rPr>
        <w:t>«Направлениями» ФГК(Н) являются:</w:t>
      </w:r>
    </w:p>
    <w:p>
      <w:pPr>
        <w:pStyle w:val="Normal"/>
        <w:spacing w:lineRule="auto" w:line="360"/>
        <w:ind w:firstLine="709"/>
        <w:jc w:val="both"/>
        <w:rPr>
          <w:sz w:val="26"/>
          <w:szCs w:val="26"/>
        </w:rPr>
      </w:pPr>
      <w:r>
        <w:rPr>
          <w:sz w:val="26"/>
          <w:szCs w:val="26"/>
        </w:rPr>
        <w:t xml:space="preserve"> </w:t>
      </w:r>
      <w:r>
        <w:rPr>
          <w:sz w:val="26"/>
          <w:szCs w:val="26"/>
        </w:rP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pPr>
        <w:pStyle w:val="Normal"/>
        <w:spacing w:lineRule="auto" w:line="360"/>
        <w:ind w:firstLine="709"/>
        <w:jc w:val="both"/>
        <w:rPr>
          <w:sz w:val="26"/>
          <w:szCs w:val="26"/>
        </w:rPr>
      </w:pPr>
      <w:r>
        <w:rPr>
          <w:sz w:val="26"/>
          <w:szCs w:val="26"/>
        </w:rP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pPr>
        <w:pStyle w:val="Normal"/>
        <w:spacing w:lineRule="auto" w:line="360"/>
        <w:ind w:firstLine="709"/>
        <w:jc w:val="both"/>
        <w:rPr>
          <w:sz w:val="26"/>
          <w:szCs w:val="26"/>
        </w:rPr>
      </w:pPr>
      <w:r>
        <w:rPr>
          <w:sz w:val="26"/>
          <w:szCs w:val="26"/>
        </w:rP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pPr>
        <w:pStyle w:val="Normal"/>
        <w:spacing w:lineRule="auto" w:line="360"/>
        <w:ind w:firstLine="709"/>
        <w:jc w:val="both"/>
        <w:rPr>
          <w:sz w:val="26"/>
          <w:szCs w:val="26"/>
        </w:rPr>
      </w:pPr>
      <w:r>
        <w:rPr>
          <w:sz w:val="26"/>
          <w:szCs w:val="26"/>
        </w:rPr>
        <w:t>4) государственный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статьями 8, 10.2, 11, 12, 14 и 26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pPr>
        <w:pStyle w:val="Normal"/>
        <w:spacing w:lineRule="auto" w:line="360"/>
        <w:ind w:firstLine="709"/>
        <w:jc w:val="both"/>
        <w:rPr>
          <w:sz w:val="26"/>
          <w:szCs w:val="26"/>
        </w:rPr>
      </w:pPr>
      <w:r>
        <w:rPr>
          <w:sz w:val="26"/>
          <w:szCs w:val="26"/>
        </w:rP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Normal"/>
        <w:spacing w:lineRule="auto" w:line="360"/>
        <w:ind w:firstLine="709"/>
        <w:jc w:val="both"/>
        <w:rPr>
          <w:sz w:val="26"/>
          <w:szCs w:val="26"/>
        </w:rPr>
      </w:pPr>
      <w:r>
        <w:rPr>
          <w:sz w:val="26"/>
          <w:szCs w:val="26"/>
        </w:rPr>
        <w:t>«Направлениями» РГК(Н) являются:</w:t>
      </w:r>
    </w:p>
    <w:p>
      <w:pPr>
        <w:pStyle w:val="Normal"/>
        <w:spacing w:lineRule="auto" w:line="360"/>
        <w:ind w:firstLine="709"/>
        <w:jc w:val="both"/>
        <w:rPr>
          <w:sz w:val="26"/>
          <w:szCs w:val="26"/>
        </w:rPr>
      </w:pPr>
      <w:r>
        <w:rPr>
          <w:sz w:val="26"/>
          <w:szCs w:val="26"/>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pPr>
        <w:pStyle w:val="Normal"/>
        <w:spacing w:lineRule="auto" w:line="360"/>
        <w:ind w:firstLine="709"/>
        <w:jc w:val="both"/>
        <w:rPr>
          <w:sz w:val="26"/>
          <w:szCs w:val="26"/>
        </w:rPr>
      </w:pPr>
      <w:r>
        <w:rPr>
          <w:sz w:val="26"/>
          <w:szCs w:val="26"/>
        </w:rPr>
        <w:t>2) государственный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за исключением государственного контроля (надзора) за соблюдением требований технических регламентов;</w:t>
      </w:r>
    </w:p>
    <w:p>
      <w:pPr>
        <w:pStyle w:val="Normal"/>
        <w:spacing w:lineRule="auto" w:line="360"/>
        <w:ind w:firstLine="709"/>
        <w:jc w:val="both"/>
        <w:rPr>
          <w:sz w:val="26"/>
          <w:szCs w:val="26"/>
        </w:rPr>
      </w:pPr>
      <w:r>
        <w:rPr>
          <w:sz w:val="26"/>
          <w:szCs w:val="26"/>
        </w:rP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pPr>
        <w:pStyle w:val="Normal"/>
        <w:spacing w:lineRule="auto" w:line="360"/>
        <w:ind w:firstLine="709"/>
        <w:jc w:val="both"/>
        <w:rPr>
          <w:sz w:val="26"/>
          <w:szCs w:val="26"/>
        </w:rPr>
      </w:pPr>
      <w:r>
        <w:rPr>
          <w:sz w:val="26"/>
          <w:szCs w:val="26"/>
        </w:rPr>
        <w:t>Обращаем внимание на отсутствие в проекте акта определения вводимого понятия «направление». По своей сути перечисленные в пунктах 1.1, 1.2. статьи 23 Закона № 171-ФЗ в проектируемой редакции «направления» могут быть отнесены к отдельным видам лицензионного контроля или государственного контроля (надзора).</w:t>
      </w:r>
    </w:p>
    <w:p>
      <w:pPr>
        <w:pStyle w:val="Normal"/>
        <w:spacing w:lineRule="auto" w:line="360"/>
        <w:ind w:firstLine="709"/>
        <w:jc w:val="both"/>
        <w:rPr>
          <w:sz w:val="26"/>
          <w:szCs w:val="26"/>
        </w:rPr>
      </w:pPr>
      <w:r>
        <w:rPr>
          <w:sz w:val="26"/>
          <w:szCs w:val="26"/>
        </w:rPr>
        <w:t xml:space="preserve">Представляется, что предлагаемые изменения могут создать правовую неопределенность в регулировании сферы производства и оборота этилового спирта, алкогольной и спиртосодержащей продукции, вызвать затруднения в реализации контрольно-надзорных полномочий органами государственного контроля (надзора). </w:t>
      </w:r>
    </w:p>
    <w:p>
      <w:pPr>
        <w:pStyle w:val="Normal"/>
        <w:spacing w:lineRule="auto" w:line="360"/>
        <w:ind w:firstLine="709"/>
        <w:jc w:val="both"/>
        <w:rPr>
          <w:sz w:val="26"/>
          <w:szCs w:val="26"/>
        </w:rPr>
      </w:pPr>
      <w:r>
        <w:rPr>
          <w:sz w:val="26"/>
          <w:szCs w:val="26"/>
        </w:rPr>
        <w:t xml:space="preserve">Таким образом, считаем необходимым в проекте акта однозначно сформулировать осуществляемые виды государственного контроля (надзора) в сфере производства и оборота этилового спирта, алкогольной и спиртосодержащей продукции и ограничения потребления (распития) алкогольной продукции, не подменяя их «направлениями» и не включая в другие виды контроля (надзора), а также определить их предмет с учетом положений пункта 1 статьи 2 Федерального закона от 26 декабря 2008 г. № 294-ФЗ </w:t>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numPr>
          <w:ilvl w:val="0"/>
          <w:numId w:val="1"/>
        </w:numPr>
        <w:spacing w:lineRule="auto" w:line="360"/>
        <w:ind w:left="0" w:firstLine="709"/>
        <w:jc w:val="both"/>
        <w:rPr>
          <w:sz w:val="26"/>
          <w:szCs w:val="26"/>
        </w:rPr>
      </w:pPr>
      <w:r>
        <w:rPr>
          <w:sz w:val="26"/>
          <w:szCs w:val="26"/>
        </w:rPr>
        <w:t>Одновременно полагаем целесообразным предусмотреть в проекте акта норму об отнесении к предмету ФГК(Н) соблюдения лицензионных требований к производству и обороту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 и производству, поставкам, хранению и розничной продаже произведенной сельскохозяйственными товаропроизводителями винодельческой продукции.</w:t>
      </w:r>
    </w:p>
    <w:p>
      <w:pPr>
        <w:pStyle w:val="Normal"/>
        <w:numPr>
          <w:ilvl w:val="0"/>
          <w:numId w:val="1"/>
        </w:numPr>
        <w:spacing w:lineRule="auto" w:line="360"/>
        <w:ind w:left="0" w:firstLine="709"/>
        <w:jc w:val="both"/>
        <w:rPr>
          <w:sz w:val="26"/>
          <w:szCs w:val="26"/>
        </w:rPr>
      </w:pPr>
      <w:r>
        <w:rPr>
          <w:sz w:val="26"/>
          <w:szCs w:val="26"/>
        </w:rPr>
        <w:t xml:space="preserve">Подпунктом «е» пункта 1 статьи 1 проекта акта пункт 2 статьи 23 Закона </w:t>
        <w:br/>
        <w:t>№ 171-ФЗ дополняется подпунктом 7, определяющим положения в части проведения наблюдения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 Представляется необходимым исчерпывающим образом определить мероприятия по контролю без взаимодействия с юридическими лицами, индивидуальными предпринимателями, а также вид (виды) государственного контроля (надзора), в рамках которых они осуществляются.</w:t>
      </w:r>
    </w:p>
    <w:p>
      <w:pPr>
        <w:pStyle w:val="Normal"/>
        <w:numPr>
          <w:ilvl w:val="0"/>
          <w:numId w:val="1"/>
        </w:numPr>
        <w:spacing w:lineRule="auto" w:line="360"/>
        <w:ind w:left="0" w:firstLine="709"/>
        <w:jc w:val="both"/>
        <w:rPr>
          <w:sz w:val="26"/>
          <w:szCs w:val="26"/>
        </w:rPr>
      </w:pPr>
      <w:r>
        <w:rPr>
          <w:sz w:val="26"/>
          <w:szCs w:val="26"/>
        </w:rPr>
        <w:t>Пунктом 2 статьи 1 проекта акта статья 23.1 Закона № 171-ФЗ дополняется пунктом 5, согласно которому «при осуществлении государственного надзора плановые проверки не проводятся, за исключением проверок деятельности организаций, осуществляющих производство пива, пивных напитков, сидра, пуаре и медовухи». Обращаем внимание на необходимость определения видов государственного контроля (надзора), при осуществлении которых плановые проверки не проводятся.</w:t>
      </w:r>
    </w:p>
    <w:p>
      <w:pPr>
        <w:pStyle w:val="Normal"/>
        <w:spacing w:lineRule="auto" w:line="360"/>
        <w:ind w:firstLine="709"/>
        <w:jc w:val="both"/>
        <w:rPr>
          <w:sz w:val="26"/>
          <w:szCs w:val="26"/>
        </w:rPr>
      </w:pPr>
      <w:r>
        <w:rPr>
          <w:sz w:val="26"/>
          <w:szCs w:val="26"/>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pPr>
        <w:pStyle w:val="Normal"/>
        <w:spacing w:lineRule="auto" w:line="360"/>
        <w:ind w:firstLine="709"/>
        <w:jc w:val="both"/>
        <w:rPr>
          <w:sz w:val="26"/>
          <w:szCs w:val="26"/>
        </w:rPr>
      </w:pPr>
      <w:r>
        <w:rPr>
          <w:sz w:val="26"/>
          <w:szCs w:val="26"/>
        </w:rPr>
        <w:t>На основе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 а также о наличии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pPr>
        <w:pStyle w:val="Normal"/>
        <w:spacing w:lineRule="auto" w:line="360"/>
        <w:ind w:firstLine="709"/>
        <w:jc w:val="both"/>
        <w:rPr>
          <w:sz w:val="26"/>
          <w:szCs w:val="26"/>
        </w:rPr>
      </w:pPr>
      <w:r>
        <w:rPr>
          <w:sz w:val="26"/>
          <w:szCs w:val="26"/>
        </w:rPr>
        <w:t>Приложение: на 1 л. в 1 экз.</w:t>
      </w:r>
    </w:p>
    <w:p>
      <w:pPr>
        <w:pStyle w:val="Normal"/>
        <w:spacing w:lineRule="auto" w:line="360"/>
        <w:ind w:firstLine="709"/>
        <w:jc w:val="both"/>
        <w:rPr>
          <w:sz w:val="26"/>
          <w:szCs w:val="26"/>
        </w:rPr>
      </w:pPr>
      <w:r>
        <w:rPr>
          <w:sz w:val="26"/>
          <w:szCs w:val="26"/>
        </w:rPr>
      </w:r>
    </w:p>
    <w:p>
      <w:pPr>
        <w:pStyle w:val="Normal"/>
        <w:jc w:val="both"/>
        <w:rPr>
          <w:sz w:val="16"/>
          <w:szCs w:val="16"/>
        </w:rPr>
      </w:pPr>
      <w:r>
        <w:rPr>
          <w:sz w:val="16"/>
          <w:szCs w:val="16"/>
        </w:rPr>
      </w:r>
    </w:p>
    <w:p>
      <w:pPr>
        <w:pStyle w:val="Normal"/>
        <w:jc w:val="both"/>
        <w:rPr>
          <w:sz w:val="16"/>
          <w:szCs w:val="16"/>
        </w:rPr>
      </w:pPr>
      <w:r>
        <w:rPr>
          <w:sz w:val="16"/>
          <w:szCs w:val="16"/>
        </w:rPr>
      </w:r>
      <w:r>
        <w:br w:type="page"/>
      </w:r>
    </w:p>
    <w:p>
      <w:pPr>
        <w:pStyle w:val="Bodytext21"/>
        <w:shd w:fill="FFFFFF" w:val="clear"/>
        <w:spacing w:before="0" w:after="120"/>
        <w:jc w:val="center"/>
        <w:rPr>
          <w:b/>
          <w:b/>
          <w:sz w:val="26"/>
          <w:szCs w:val="26"/>
        </w:rPr>
      </w:pPr>
      <w:r>
        <w:rPr>
          <w:b/>
          <w:sz w:val="26"/>
          <w:szCs w:val="26"/>
        </w:rPr>
        <w:t>Справка о результатах публичных консультаций,</w:t>
      </w:r>
    </w:p>
    <w:p>
      <w:pPr>
        <w:pStyle w:val="Bodytext21"/>
        <w:shd w:fill="FFFFFF" w:val="clear"/>
        <w:spacing w:lineRule="auto" w:line="240" w:before="0" w:after="0"/>
        <w:jc w:val="center"/>
        <w:rPr>
          <w:b/>
          <w:b/>
          <w:sz w:val="26"/>
          <w:szCs w:val="26"/>
        </w:rPr>
      </w:pPr>
      <w:r>
        <w:rPr>
          <w:b/>
          <w:sz w:val="26"/>
          <w:szCs w:val="26"/>
        </w:rPr>
        <w:t>проведенных в рамках подготовки заключения об оценке регулирующего воздействия на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Bodytext21"/>
        <w:shd w:fill="FFFFFF" w:val="clear"/>
        <w:spacing w:lineRule="auto" w:line="360" w:before="0" w:after="0"/>
        <w:ind w:firstLine="879"/>
        <w:rPr>
          <w:sz w:val="26"/>
          <w:szCs w:val="26"/>
        </w:rPr>
      </w:pPr>
      <w:r>
        <w:rPr>
          <w:sz w:val="26"/>
          <w:szCs w:val="26"/>
        </w:rPr>
      </w:r>
    </w:p>
    <w:p>
      <w:pPr>
        <w:pStyle w:val="Bodytext21"/>
        <w:shd w:fill="FFFFFF" w:val="clear"/>
        <w:spacing w:lineRule="auto" w:line="360" w:before="0" w:after="0"/>
        <w:ind w:firstLine="709"/>
        <w:jc w:val="both"/>
        <w:rPr>
          <w:sz w:val="26"/>
          <w:szCs w:val="26"/>
        </w:rPr>
      </w:pPr>
      <w:r>
        <w:rPr>
          <w:sz w:val="26"/>
          <w:szCs w:val="26"/>
        </w:rPr>
        <w:t xml:space="preserve">В рамках подготовки заключения об оценке регулирующего воздействия на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проект акта) Минэкономразвития  России  были проведены публичные консультации по проекту акта в срок с 4 по 12 июля </w:t>
        <w:br/>
        <w:t>2019 г. с целью выявления мнения заинтересованных лиц относительно потенциальных рисков применения предлагаемого проектом акта правового регулирования.</w:t>
      </w:r>
    </w:p>
    <w:p>
      <w:pPr>
        <w:pStyle w:val="Bodytext21"/>
        <w:shd w:fill="FFFFFF" w:val="clear"/>
        <w:spacing w:lineRule="auto" w:line="360" w:before="0" w:after="0"/>
        <w:ind w:firstLine="709"/>
        <w:jc w:val="both"/>
        <w:rPr>
          <w:sz w:val="26"/>
          <w:szCs w:val="26"/>
        </w:rPr>
      </w:pPr>
      <w:r>
        <w:rPr>
          <w:sz w:val="26"/>
          <w:szCs w:val="26"/>
        </w:rPr>
        <w:t xml:space="preserve">По результатам публичных консультаций АО «Татспиртпром», </w:t>
        <w:br/>
        <w:t>СРО «Винодельческий союз», Х5 Retail Group сообщили об отсутствии предложений и замечаний. ЗАО «Игристые вина» направило следующие замечания к проектируемому регулированию: «Наделение должностных лиц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полномочием проводить наблюдение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 стоит рассматривать в качестве дополнительной формы контроля.</w:t>
      </w:r>
    </w:p>
    <w:p>
      <w:pPr>
        <w:pStyle w:val="Bodytext21"/>
        <w:shd w:fill="FFFFFF" w:val="clear"/>
        <w:spacing w:lineRule="auto" w:line="360" w:before="0" w:after="0"/>
        <w:ind w:firstLine="709"/>
        <w:jc w:val="both"/>
        <w:rPr/>
      </w:pPr>
      <w:r>
        <w:rPr>
          <w:sz w:val="26"/>
          <w:szCs w:val="26"/>
        </w:rPr>
        <w:t>В заключение стоит отметить, что рассматриваемым проектом не определено, что будет являться результатом данного наблюдения и, соответственно, какие в связи с этим могут возникнуть обязанности у юридических лиц и индивидуальных предпринимателей и сельскохозяйственных товаропроизводителей».</w:t>
      </w:r>
    </w:p>
    <w:sectPr>
      <w:headerReference w:type="default" r:id="rId5"/>
      <w:type w:val="nextPage"/>
      <w:pgSz w:w="11906" w:h="16838"/>
      <w:pgMar w:left="1134"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768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3"/>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52.1pt;mso-position-horizontal:center;mso-position-horizontal-relative:margin">
              <v:fill opacity="0f"/>
              <v:textbox inset="0in,0in,0in,0in">
                <w:txbxContent>
                  <w:p>
                    <w:pPr>
                      <w:pStyle w:val="Style23"/>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29a7"/>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semiHidden/>
    <w:qFormat/>
    <w:rPr/>
  </w:style>
  <w:style w:type="character" w:styleId="Pagenumber">
    <w:name w:val="page number"/>
    <w:basedOn w:val="DefaultParagraphFont"/>
    <w:qFormat/>
    <w:rsid w:val="00a529a7"/>
    <w:rPr/>
  </w:style>
  <w:style w:type="character" w:styleId="Style14">
    <w:name w:val="Интернет-ссылка"/>
    <w:rsid w:val="0090466c"/>
    <w:rPr>
      <w:color w:val="0000FF"/>
      <w:u w:val="single"/>
    </w:rPr>
  </w:style>
  <w:style w:type="character" w:styleId="Style15" w:customStyle="1">
    <w:name w:val="Текст выноски Знак"/>
    <w:link w:val="aa"/>
    <w:qFormat/>
    <w:rsid w:val="00d12f6a"/>
    <w:rPr>
      <w:rFonts w:ascii="Tahoma" w:hAnsi="Tahoma" w:cs="Tahoma"/>
      <w:sz w:val="16"/>
      <w:szCs w:val="16"/>
    </w:rPr>
  </w:style>
  <w:style w:type="character" w:styleId="Style16" w:customStyle="1">
    <w:name w:val="Текст сноски Знак"/>
    <w:basedOn w:val="DefaultParagraphFont"/>
    <w:link w:val="ac"/>
    <w:qFormat/>
    <w:rsid w:val="00e32eca"/>
    <w:rPr/>
  </w:style>
  <w:style w:type="character" w:styleId="Style17">
    <w:name w:val="Привязка сноски"/>
    <w:rPr>
      <w:vertAlign w:val="superscript"/>
    </w:rPr>
  </w:style>
  <w:style w:type="character" w:styleId="FootnoteCharacters">
    <w:name w:val="Footnote Characters"/>
    <w:qFormat/>
    <w:rsid w:val="00e32eca"/>
    <w:rPr>
      <w:vertAlign w:val="superscript"/>
    </w:rPr>
  </w:style>
  <w:style w:type="character" w:styleId="Bodytext2" w:customStyle="1">
    <w:name w:val="Body text (2)_"/>
    <w:link w:val="Bodytext20"/>
    <w:qFormat/>
    <w:rsid w:val="003236be"/>
    <w:rPr>
      <w:shd w:fill="FFFFFF" w:val="clea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rPr>
  </w:style>
  <w:style w:type="character" w:styleId="ListLabel6">
    <w:name w:val="ListLabel 6"/>
    <w:qFormat/>
    <w:rPr>
      <w:b/>
    </w:rPr>
  </w:style>
  <w:style w:type="character" w:styleId="ListLabel7">
    <w:name w:val="ListLabel 7"/>
    <w:qFormat/>
    <w:rPr>
      <w:rFonts w:cs="Times New Roman"/>
      <w:sz w:val="26"/>
    </w:rPr>
  </w:style>
  <w:style w:type="character" w:styleId="ListLabel8">
    <w:name w:val="ListLabel 8"/>
    <w:qFormat/>
    <w:rPr>
      <w:rFonts w:cs="Times New Roman"/>
      <w:sz w:val="26"/>
    </w:rPr>
  </w:style>
  <w:style w:type="character" w:styleId="ListLabel9">
    <w:name w:val="ListLabel 9"/>
    <w:qFormat/>
    <w:rPr>
      <w:rFonts w:cs="Times New Roman"/>
      <w:sz w:val="26"/>
    </w:rPr>
  </w:style>
  <w:style w:type="character" w:styleId="ListLabel10">
    <w:name w:val="ListLabel 10"/>
    <w:qFormat/>
    <w:rPr>
      <w:rFonts w:cs="Times New Roman"/>
      <w:sz w:val="26"/>
    </w:rPr>
  </w:style>
  <w:style w:type="character" w:styleId="ListLabel11">
    <w:name w:val="ListLabel 11"/>
    <w:qFormat/>
    <w:rPr>
      <w:rFonts w:cs="Times New Roman"/>
      <w:sz w:val="26"/>
    </w:rPr>
  </w:style>
  <w:style w:type="character" w:styleId="ListLabel12">
    <w:name w:val="ListLabel 12"/>
    <w:qFormat/>
    <w:rPr>
      <w:rFonts w:cs="Times New Roman"/>
      <w:sz w:val="26"/>
    </w:rPr>
  </w:style>
  <w:style w:type="character" w:styleId="ListLabel13">
    <w:name w:val="ListLabel 13"/>
    <w:qFormat/>
    <w:rPr>
      <w:rFonts w:cs="Times New Roman"/>
      <w:sz w:val="26"/>
    </w:rPr>
  </w:style>
  <w:style w:type="character" w:styleId="ListLabel14">
    <w:name w:val="ListLabel 14"/>
    <w:qFormat/>
    <w:rPr>
      <w:rFonts w:cs="Times New Roman"/>
      <w:sz w:val="26"/>
    </w:rPr>
  </w:style>
  <w:style w:type="character" w:styleId="ListLabel15">
    <w:name w:val="ListLabel 15"/>
    <w:qFormat/>
    <w:rPr>
      <w:sz w:val="26"/>
      <w:szCs w:val="26"/>
    </w:rPr>
  </w:style>
  <w:style w:type="paragraph" w:styleId="Style18">
    <w:name w:val="Заголовок"/>
    <w:basedOn w:val="Normal"/>
    <w:next w:val="Style19"/>
    <w:qFormat/>
    <w:pPr>
      <w:keepNext w:val="true"/>
      <w:spacing w:before="240" w:after="120"/>
    </w:pPr>
    <w:rPr>
      <w:rFonts w:ascii="Liberation Sans" w:hAnsi="Liberation Sans" w:eastAsia="Droid Sans Fallback"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qFormat/>
    <w:rsid w:val="00a529a7"/>
    <w:pPr>
      <w:spacing w:beforeAutospacing="1" w:afterAutospacing="1"/>
    </w:pPr>
    <w:rPr/>
  </w:style>
  <w:style w:type="paragraph" w:styleId="Style23">
    <w:name w:val="Header"/>
    <w:basedOn w:val="Normal"/>
    <w:rsid w:val="00a529a7"/>
    <w:pPr>
      <w:tabs>
        <w:tab w:val="center" w:pos="4677" w:leader="none"/>
        <w:tab w:val="right" w:pos="9355" w:leader="none"/>
      </w:tabs>
    </w:pPr>
    <w:rPr/>
  </w:style>
  <w:style w:type="paragraph" w:styleId="Style24">
    <w:name w:val="Footer"/>
    <w:basedOn w:val="Normal"/>
    <w:rsid w:val="00a529a7"/>
    <w:pPr>
      <w:tabs>
        <w:tab w:val="center" w:pos="4677" w:leader="none"/>
        <w:tab w:val="right" w:pos="9355" w:leader="none"/>
      </w:tabs>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a529a7"/>
    <w:pPr>
      <w:spacing w:beforeAutospacing="1" w:afterAutospacing="1"/>
    </w:pPr>
    <w:rPr>
      <w:rFonts w:ascii="Tahoma" w:hAnsi="Tahoma"/>
      <w:sz w:val="20"/>
      <w:szCs w:val="20"/>
      <w:lang w:val="en-US" w:eastAsia="en-US"/>
    </w:rPr>
  </w:style>
  <w:style w:type="paragraph" w:styleId="ConsPlusNormal" w:customStyle="1">
    <w:name w:val="ConsPlusNormal"/>
    <w:qFormat/>
    <w:rsid w:val="00787896"/>
    <w:pPr>
      <w:widowControl w:val="false"/>
      <w:suppressAutoHyphens w:val="true"/>
      <w:bidi w:val="0"/>
      <w:ind w:firstLine="720"/>
      <w:jc w:val="left"/>
    </w:pPr>
    <w:rPr>
      <w:rFonts w:ascii="Arial" w:hAnsi="Arial" w:eastAsia="Arial" w:cs="Arial"/>
      <w:color w:val="auto"/>
      <w:kern w:val="0"/>
      <w:sz w:val="24"/>
      <w:szCs w:val="20"/>
      <w:lang w:eastAsia="ar-SA" w:val="ru-RU" w:bidi="ar-SA"/>
    </w:rPr>
  </w:style>
  <w:style w:type="paragraph" w:styleId="ConsPlusNonformat" w:customStyle="1">
    <w:name w:val="ConsPlusNonformat"/>
    <w:uiPriority w:val="99"/>
    <w:qFormat/>
    <w:rsid w:val="00c63c9c"/>
    <w:pPr>
      <w:widowControl w:val="false"/>
      <w:bidi w:val="0"/>
      <w:jc w:val="left"/>
    </w:pPr>
    <w:rPr>
      <w:rFonts w:ascii="Courier New" w:hAnsi="Courier New" w:cs="Courier New" w:eastAsia="Times New Roman"/>
      <w:color w:val="auto"/>
      <w:kern w:val="0"/>
      <w:sz w:val="24"/>
      <w:szCs w:val="20"/>
      <w:lang w:val="ru-RU" w:eastAsia="ru-RU" w:bidi="ar-SA"/>
    </w:rPr>
  </w:style>
  <w:style w:type="paragraph" w:styleId="ConsPlusTitle" w:customStyle="1">
    <w:name w:val="ConsPlusTitle"/>
    <w:uiPriority w:val="99"/>
    <w:qFormat/>
    <w:rsid w:val="00c63c9c"/>
    <w:pPr>
      <w:widowControl w:val="false"/>
      <w:bidi w:val="0"/>
      <w:jc w:val="left"/>
    </w:pPr>
    <w:rPr>
      <w:rFonts w:ascii="Times New Roman" w:hAnsi="Times New Roman" w:eastAsia="Times New Roman" w:cs="Times New Roman"/>
      <w:b/>
      <w:bCs/>
      <w:color w:val="auto"/>
      <w:kern w:val="0"/>
      <w:sz w:val="28"/>
      <w:szCs w:val="28"/>
      <w:lang w:val="ru-RU" w:eastAsia="ru-RU" w:bidi="ar-SA"/>
    </w:rPr>
  </w:style>
  <w:style w:type="paragraph" w:styleId="Style25" w:customStyle="1">
    <w:name w:val="Стиль"/>
    <w:qFormat/>
    <w:rsid w:val="005a0cd8"/>
    <w:pPr>
      <w:widowControl w:val="false"/>
      <w:bidi w:val="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b"/>
    <w:qFormat/>
    <w:rsid w:val="00d12f6a"/>
    <w:pPr/>
    <w:rPr>
      <w:rFonts w:ascii="Tahoma" w:hAnsi="Tahoma" w:cs="Tahoma"/>
      <w:sz w:val="16"/>
      <w:szCs w:val="16"/>
    </w:rPr>
  </w:style>
  <w:style w:type="paragraph" w:styleId="Style26">
    <w:name w:val="Footnote Text"/>
    <w:basedOn w:val="Normal"/>
    <w:link w:val="ad"/>
    <w:rsid w:val="00e32eca"/>
    <w:pPr/>
    <w:rPr>
      <w:sz w:val="20"/>
      <w:szCs w:val="20"/>
    </w:rPr>
  </w:style>
  <w:style w:type="paragraph" w:styleId="Bodytext21" w:customStyle="1">
    <w:name w:val="Body text (2)"/>
    <w:basedOn w:val="Normal"/>
    <w:link w:val="Bodytext2"/>
    <w:qFormat/>
    <w:rsid w:val="003236be"/>
    <w:pPr>
      <w:widowControl w:val="false"/>
      <w:shd w:val="clear" w:color="auto" w:fill="FFFFFF"/>
      <w:spacing w:lineRule="auto" w:before="240" w:after="360"/>
    </w:pPr>
    <w:rPr>
      <w:sz w:val="20"/>
      <w:szCs w:val="20"/>
    </w:rPr>
  </w:style>
  <w:style w:type="paragraph" w:styleId="Style27">
    <w:name w:val="Содержимое врезки"/>
    <w:basedOn w:val="Normal"/>
    <w:qFormat/>
    <w:pPr/>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 w:type="table" w:styleId="a7">
    <w:name w:val="Table Grid"/>
    <w:basedOn w:val="a1"/>
    <w:rsid w:val="00a529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BA08EE99C2022DE71ADFECAE9577BE72075799551A3462E21629B24CE791004B53157828517DCAFT4f9P" TargetMode="External"/><Relationship Id="rId3" Type="http://schemas.openxmlformats.org/officeDocument/2006/relationships/hyperlink" Target="consultantplus://offline/ref=CBA08EE99C2022DE71ADFECAE9577BE72075799551A3462E21629B24CE791004B53157828517DCA9T4fAP" TargetMode="External"/><Relationship Id="rId4" Type="http://schemas.openxmlformats.org/officeDocument/2006/relationships/hyperlink" Target="consultantplus://offline/ref=CBA08EE99C2022DE71ADFECAE9577BE72075799551A3462E21629B24CE791004B53157828517DDADT4fFP"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FF93-D0FF-4427-8D32-5D1CD88C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LibreOffice/6.0.7.3.0$Linux_X86_64 LibreOffice_project/00m0$Build-3</Application>
  <Pages>3</Pages>
  <Words>1457</Words>
  <Characters>11093</Characters>
  <CharactersWithSpaces>12527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2019-07-29T16:31:00Z</dcterms:created>
  <dc:creator>SubbotinaMM</dc:creator>
  <dc:description/>
  <dc:language>ru-RU</dc:language>
  <cp:lastModifiedBy>Субботина Мария Михайловна</cp:lastModifiedBy>
  <cp:lastPrinted>2016-01-13T11:05:00Z</cp:lastPrinted>
  <dcterms:modified xsi:type="dcterms:W3CDTF">2019-07-29T16:31:00Z</dcterms:modified>
  <cp:revision>2</cp:revision>
  <dc:subject/>
  <dc:title>Росалкогольрегулирования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