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vanish/>
        </w:rPr>
      </w:pPr>
      <w:r>
        <w:rPr>
          <w:vanish/>
        </w:rPr>
      </w:r>
      <w: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1270</wp:posOffset>
                </wp:positionV>
                <wp:extent cx="281749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2817495" cy="14605"/>
                        </a:xfrm>
                        <a:prstGeom prst="rect"/>
                      </wps:spPr>
                      <wps:txbx>
                        <w:txbxContent>
                          <w:tbl>
                            <w:tblPr>
                              <w:tblpPr w:bottomFromText="0" w:horzAnchor="margin" w:leftFromText="180" w:rightFromText="180" w:tblpX="0" w:tblpXSpec="right" w:tblpY="2" w:topFromText="0" w:vertAnchor="text"/>
                              <w:tblW w:w="4437" w:type="dxa"/>
                              <w:jc w:val="right"/>
                              <w:tblInd w:w="0" w:type="dxa"/>
                              <w:tblBorders/>
                              <w:tblCellMar>
                                <w:top w:w="0" w:type="dxa"/>
                                <w:left w:w="108" w:type="dxa"/>
                                <w:bottom w:w="0" w:type="dxa"/>
                                <w:right w:w="108" w:type="dxa"/>
                              </w:tblCellMar>
                              <w:tblLook w:val="01e0" w:noVBand="0" w:noHBand="0" w:lastColumn="1" w:firstColumn="1" w:lastRow="1" w:firstRow="1"/>
                            </w:tblPr>
                            <w:tblGrid>
                              <w:gridCol w:w="4437"/>
                            </w:tblGrid>
                            <w:tr>
                              <w:trPr>
                                <w:trHeight w:val="1295" w:hRule="atLeast"/>
                              </w:trPr>
                              <w:tc>
                                <w:tcPr>
                                  <w:tcW w:w="4437" w:type="dxa"/>
                                  <w:tcBorders/>
                                  <w:shd w:fill="auto" w:val="clear"/>
                                </w:tcPr>
                                <w:p>
                                  <w:pPr>
                                    <w:pStyle w:val="Normal"/>
                                    <w:jc w:val="center"/>
                                    <w:rPr/>
                                  </w:pPr>
                                  <w:r>
                                    <w:rPr>
                                      <w:sz w:val="26"/>
                                      <w:szCs w:val="26"/>
                                    </w:rPr>
                                    <w:t xml:space="preserve">№ </w:t>
                                  </w:r>
                                  <w:r>
                                    <w:rPr>
                                      <w:sz w:val="26"/>
                                      <w:szCs w:val="26"/>
                                    </w:rPr>
                                    <w:t>24959-АТ/Д26и от 31.07.2019</w:t>
                                  </w:r>
                                </w:p>
                                <w:p>
                                  <w:pPr>
                                    <w:pStyle w:val="Normal"/>
                                    <w:jc w:val="center"/>
                                    <w:rPr>
                                      <w:sz w:val="26"/>
                                      <w:szCs w:val="26"/>
                                    </w:rPr>
                                  </w:pPr>
                                  <w:r>
                                    <w:rPr>
                                      <w:sz w:val="26"/>
                                      <w:szCs w:val="26"/>
                                    </w:rPr>
                                  </w:r>
                                </w:p>
                                <w:p>
                                  <w:pPr>
                                    <w:pStyle w:val="Normal"/>
                                    <w:jc w:val="center"/>
                                    <w:rPr>
                                      <w:sz w:val="26"/>
                                      <w:szCs w:val="26"/>
                                    </w:rPr>
                                  </w:pPr>
                                  <w:r>
                                    <w:rPr>
                                      <w:sz w:val="26"/>
                                      <w:szCs w:val="26"/>
                                    </w:rPr>
                                  </w:r>
                                  <w:bookmarkStart w:id="0" w:name="__UnoMark__364_1932575528"/>
                                  <w:bookmarkStart w:id="1" w:name="__UnoMark__364_1932575528"/>
                                  <w:bookmarkEnd w:id="1"/>
                                </w:p>
                              </w:tc>
                            </w:tr>
                            <w:tr>
                              <w:trPr/>
                              <w:tc>
                                <w:tcPr>
                                  <w:tcW w:w="4437" w:type="dxa"/>
                                  <w:tcBorders/>
                                  <w:shd w:fill="auto" w:val="clear"/>
                                </w:tcPr>
                                <w:p>
                                  <w:pPr>
                                    <w:pStyle w:val="Normal"/>
                                    <w:jc w:val="center"/>
                                    <w:rPr>
                                      <w:sz w:val="26"/>
                                      <w:szCs w:val="26"/>
                                    </w:rPr>
                                  </w:pPr>
                                  <w:r>
                                    <w:rPr>
                                      <w:sz w:val="26"/>
                                      <w:szCs w:val="26"/>
                                    </w:rPr>
                                  </w:r>
                                  <w:bookmarkStart w:id="2" w:name="__UnoMark__365_1932575528"/>
                                  <w:bookmarkStart w:id="3" w:name="__UnoMark__365_1932575528"/>
                                  <w:bookmarkEnd w:id="3"/>
                                </w:p>
                              </w:tc>
                            </w:tr>
                          </w:tbl>
                        </w:txbxContent>
                      </wps:txbx>
                      <wps:bodyPr anchor="t" lIns="0" tIns="0" rIns="0" bIns="0">
                        <a:spAutoFit/>
                      </wps:bodyPr>
                    </wps:wsp>
                  </a:graphicData>
                </a:graphic>
              </wp:anchor>
            </w:drawing>
          </mc:Choice>
          <mc:Fallback>
            <w:pict>
              <v:rect style="position:absolute;rotation:0;width:221.85pt;height:1.15pt;mso-wrap-distance-left:9pt;mso-wrap-distance-right:9pt;mso-wrap-distance-top:0pt;mso-wrap-distance-bottom:0pt;margin-top:0.1pt;mso-position-vertical-relative:text;margin-left:-5.4pt;mso-position-horizontal:right;mso-position-horizontal-relative:margin">
                <v:textbox inset="0in,0in,0in,0in">
                  <w:txbxContent>
                    <w:tbl>
                      <w:tblPr>
                        <w:tblpPr w:bottomFromText="0" w:horzAnchor="margin" w:leftFromText="180" w:rightFromText="180" w:tblpX="0" w:tblpXSpec="right" w:tblpY="2" w:topFromText="0" w:vertAnchor="text"/>
                        <w:tblW w:w="4437" w:type="dxa"/>
                        <w:jc w:val="right"/>
                        <w:tblInd w:w="0" w:type="dxa"/>
                        <w:tblBorders/>
                        <w:tblCellMar>
                          <w:top w:w="0" w:type="dxa"/>
                          <w:left w:w="108" w:type="dxa"/>
                          <w:bottom w:w="0" w:type="dxa"/>
                          <w:right w:w="108" w:type="dxa"/>
                        </w:tblCellMar>
                        <w:tblLook w:val="01e0" w:noVBand="0" w:noHBand="0" w:lastColumn="1" w:firstColumn="1" w:lastRow="1" w:firstRow="1"/>
                      </w:tblPr>
                      <w:tblGrid>
                        <w:gridCol w:w="4437"/>
                      </w:tblGrid>
                      <w:tr>
                        <w:trPr>
                          <w:trHeight w:val="1295" w:hRule="atLeast"/>
                        </w:trPr>
                        <w:tc>
                          <w:tcPr>
                            <w:tcW w:w="4437" w:type="dxa"/>
                            <w:tcBorders/>
                            <w:shd w:fill="auto" w:val="clear"/>
                          </w:tcPr>
                          <w:p>
                            <w:pPr>
                              <w:pStyle w:val="Normal"/>
                              <w:jc w:val="center"/>
                              <w:rPr/>
                            </w:pPr>
                            <w:r>
                              <w:rPr>
                                <w:sz w:val="26"/>
                                <w:szCs w:val="26"/>
                              </w:rPr>
                              <w:t xml:space="preserve">№ </w:t>
                            </w:r>
                            <w:r>
                              <w:rPr>
                                <w:sz w:val="26"/>
                                <w:szCs w:val="26"/>
                              </w:rPr>
                              <w:t>24959-АТ/Д26и от 31.07.2019</w:t>
                            </w:r>
                          </w:p>
                          <w:p>
                            <w:pPr>
                              <w:pStyle w:val="Normal"/>
                              <w:jc w:val="center"/>
                              <w:rPr>
                                <w:sz w:val="26"/>
                                <w:szCs w:val="26"/>
                              </w:rPr>
                            </w:pPr>
                            <w:r>
                              <w:rPr>
                                <w:sz w:val="26"/>
                                <w:szCs w:val="26"/>
                              </w:rPr>
                            </w:r>
                          </w:p>
                          <w:p>
                            <w:pPr>
                              <w:pStyle w:val="Normal"/>
                              <w:jc w:val="center"/>
                              <w:rPr>
                                <w:sz w:val="26"/>
                                <w:szCs w:val="26"/>
                              </w:rPr>
                            </w:pPr>
                            <w:r>
                              <w:rPr>
                                <w:sz w:val="26"/>
                                <w:szCs w:val="26"/>
                              </w:rPr>
                            </w:r>
                            <w:bookmarkStart w:id="4" w:name="__UnoMark__364_1932575528"/>
                            <w:bookmarkStart w:id="5" w:name="__UnoMark__364_1932575528"/>
                            <w:bookmarkEnd w:id="5"/>
                          </w:p>
                        </w:tc>
                      </w:tr>
                      <w:tr>
                        <w:trPr/>
                        <w:tc>
                          <w:tcPr>
                            <w:tcW w:w="4437" w:type="dxa"/>
                            <w:tcBorders/>
                            <w:shd w:fill="auto" w:val="clear"/>
                          </w:tcPr>
                          <w:p>
                            <w:pPr>
                              <w:pStyle w:val="Normal"/>
                              <w:jc w:val="center"/>
                              <w:rPr>
                                <w:sz w:val="26"/>
                                <w:szCs w:val="26"/>
                              </w:rPr>
                            </w:pPr>
                            <w:r>
                              <w:rPr>
                                <w:sz w:val="26"/>
                                <w:szCs w:val="26"/>
                              </w:rPr>
                            </w:r>
                            <w:bookmarkStart w:id="6" w:name="__UnoMark__365_1932575528"/>
                            <w:bookmarkStart w:id="7" w:name="__UnoMark__365_1932575528"/>
                            <w:bookmarkEnd w:id="7"/>
                          </w:p>
                        </w:tc>
                      </w:tr>
                    </w:tbl>
                  </w:txbxContent>
                </v:textbox>
                <w10:wrap type="square"/>
              </v:rect>
            </w:pict>
          </mc:Fallback>
        </mc:AlternateConten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spacing w:lineRule="auto" w:line="360"/>
        <w:jc w:val="center"/>
        <w:rPr>
          <w:sz w:val="26"/>
          <w:szCs w:val="26"/>
        </w:rPr>
      </w:pPr>
      <w:r>
        <w:rPr>
          <w:sz w:val="26"/>
          <w:szCs w:val="26"/>
        </w:rPr>
        <w:t xml:space="preserve">ЗАКЛЮЧЕНИЕ </w:t>
      </w:r>
    </w:p>
    <w:p>
      <w:pPr>
        <w:pStyle w:val="Normal"/>
        <w:jc w:val="center"/>
        <w:rPr>
          <w:sz w:val="26"/>
          <w:szCs w:val="26"/>
        </w:rPr>
      </w:pPr>
      <w:r>
        <w:rPr>
          <w:sz w:val="26"/>
          <w:szCs w:val="26"/>
        </w:rPr>
        <w:t>об оценке регулирующего воздействия</w:t>
      </w:r>
    </w:p>
    <w:p>
      <w:pPr>
        <w:pStyle w:val="Normal"/>
        <w:jc w:val="center"/>
        <w:rPr>
          <w:sz w:val="26"/>
          <w:szCs w:val="26"/>
        </w:rPr>
      </w:pPr>
      <w:r>
        <w:rPr>
          <w:sz w:val="26"/>
          <w:szCs w:val="26"/>
        </w:rPr>
        <w:t xml:space="preserve">на проект федерального закона «О внесении изменений в Федеральный закон </w:t>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rPr/>
      </w:pPr>
      <w:r>
        <w:rPr/>
      </w:r>
    </w:p>
    <w:p>
      <w:pPr>
        <w:pStyle w:val="Normal"/>
        <w:ind w:firstLine="709"/>
        <w:jc w:val="both"/>
        <w:rPr>
          <w:sz w:val="26"/>
          <w:szCs w:val="26"/>
        </w:rPr>
      </w:pPr>
      <w:r>
        <w:rPr>
          <w:sz w:val="26"/>
          <w:szCs w:val="26"/>
        </w:rPr>
      </w:r>
    </w:p>
    <w:p>
      <w:pPr>
        <w:pStyle w:val="Normal"/>
        <w:spacing w:lineRule="auto" w:line="360"/>
        <w:ind w:firstLine="709"/>
        <w:jc w:val="both"/>
        <w:rPr/>
      </w:pPr>
      <w:r>
        <w:rPr>
          <w:sz w:val="26"/>
          <w:szCs w:val="26"/>
        </w:rPr>
        <w:t xml:space="preserve">Минэкономразвития России в соответствии с разделом </w:t>
      </w:r>
      <w:r>
        <w:rPr>
          <w:sz w:val="26"/>
          <w:szCs w:val="26"/>
          <w:lang w:val="en-US"/>
        </w:rPr>
        <w:t>I</w:t>
      </w:r>
      <w:r>
        <w:rPr>
          <w:sz w:val="26"/>
          <w:szCs w:val="26"/>
        </w:rPr>
        <w:t xml:space="preserve">V </w:t>
      </w:r>
      <w:hyperlink r:id="rId2">
        <w:r>
          <w:rPr>
            <w:rStyle w:val="ListLabel15"/>
            <w:sz w:val="26"/>
            <w:szCs w:val="26"/>
          </w:rPr>
          <w:t>Правил</w:t>
        </w:r>
      </w:hyperlink>
      <w:r>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br/>
        <w:t xml:space="preserve">от 17 декабря 2012 г. № 1318 (далее – правила проведения оценки регулирующего воздействия), рассмотрело проект федерального закона «О внесении изменений </w:t>
        <w:br/>
        <w:t xml:space="preserve">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проект акта), подготовленный </w:t>
        <w:br/>
        <w:t>и направленный для подготовки настоящего заключения Минздравом России (далее – разработчик), и сообщает следующее.</w:t>
      </w:r>
    </w:p>
    <w:p>
      <w:pPr>
        <w:pStyle w:val="Normal"/>
        <w:spacing w:lineRule="auto" w:line="360"/>
        <w:ind w:firstLine="709"/>
        <w:jc w:val="both"/>
        <w:rPr/>
      </w:pPr>
      <w:r>
        <w:rPr>
          <w:sz w:val="26"/>
          <w:szCs w:val="26"/>
        </w:rPr>
        <w:t xml:space="preserve">По результатам рассмотрения установлено, что при подготовке проекта акта процедуры, предусмотренные </w:t>
      </w:r>
      <w:hyperlink r:id="rId3">
        <w:r>
          <w:rPr>
            <w:rStyle w:val="ListLabel15"/>
            <w:sz w:val="26"/>
            <w:szCs w:val="26"/>
          </w:rPr>
          <w:t>пунктами 9</w:t>
        </w:r>
      </w:hyperlink>
      <w:r>
        <w:rPr>
          <w:sz w:val="26"/>
          <w:szCs w:val="26"/>
        </w:rPr>
        <w:t xml:space="preserve"> - </w:t>
      </w:r>
      <w:hyperlink r:id="rId4">
        <w:r>
          <w:rPr>
            <w:rStyle w:val="ListLabel15"/>
            <w:sz w:val="26"/>
            <w:szCs w:val="26"/>
          </w:rPr>
          <w:t>23</w:t>
        </w:r>
      </w:hyperlink>
      <w:r>
        <w:rPr>
          <w:sz w:val="26"/>
          <w:szCs w:val="26"/>
        </w:rPr>
        <w:t xml:space="preserve"> правил проведения оценки регулирующего воздействия, разработчиком соблюдены. </w:t>
      </w:r>
    </w:p>
    <w:p>
      <w:pPr>
        <w:pStyle w:val="Normal"/>
        <w:spacing w:lineRule="auto" w:line="360"/>
        <w:ind w:firstLine="709"/>
        <w:jc w:val="both"/>
        <w:rPr>
          <w:sz w:val="26"/>
          <w:szCs w:val="26"/>
        </w:rPr>
      </w:pPr>
      <w:r>
        <w:rPr>
          <w:sz w:val="26"/>
          <w:szCs w:val="26"/>
        </w:rPr>
        <w:t>Проект акта направлен разработчиком для подготовки настоящего заключения впервые.</w:t>
      </w:r>
    </w:p>
    <w:p>
      <w:pPr>
        <w:pStyle w:val="Normal"/>
        <w:spacing w:lineRule="auto" w:line="360"/>
        <w:ind w:firstLine="709"/>
        <w:jc w:val="both"/>
        <w:rPr>
          <w:sz w:val="26"/>
          <w:szCs w:val="26"/>
        </w:rPr>
      </w:pPr>
      <w:r>
        <w:rPr>
          <w:sz w:val="26"/>
          <w:szCs w:val="26"/>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http://regulation.gov.ru (</w:t>
      </w:r>
      <w:r>
        <w:rPr>
          <w:sz w:val="26"/>
          <w:szCs w:val="26"/>
          <w:lang w:val="en-US"/>
        </w:rPr>
        <w:t>ID</w:t>
      </w:r>
      <w:r>
        <w:rPr>
          <w:sz w:val="26"/>
          <w:szCs w:val="26"/>
        </w:rPr>
        <w:t xml:space="preserve"> проекта акта 02/04/05-19/00091638). </w:t>
      </w:r>
    </w:p>
    <w:p>
      <w:pPr>
        <w:pStyle w:val="Normal"/>
        <w:spacing w:lineRule="auto" w:line="360"/>
        <w:ind w:firstLine="709"/>
        <w:jc w:val="both"/>
        <w:rPr>
          <w:sz w:val="26"/>
          <w:szCs w:val="26"/>
        </w:rPr>
      </w:pPr>
      <w:r>
        <w:rPr>
          <w:sz w:val="26"/>
          <w:szCs w:val="26"/>
        </w:rPr>
        <w:t>Разработчиком проведены публичные обсуждения проекта акта и сводного отчета</w:t>
        <w:br/>
        <w:t>в срок с 27 мая по 17 июня 2019 года.</w:t>
      </w:r>
    </w:p>
    <w:p>
      <w:pPr>
        <w:pStyle w:val="Normal"/>
        <w:spacing w:lineRule="auto" w:line="360"/>
        <w:ind w:firstLine="709"/>
        <w:jc w:val="both"/>
        <w:rPr>
          <w:sz w:val="26"/>
          <w:szCs w:val="26"/>
        </w:rPr>
      </w:pPr>
      <w:r>
        <w:rPr>
          <w:sz w:val="26"/>
          <w:szCs w:val="26"/>
        </w:rPr>
        <w:t>Разработчиком представлена сводка предложений по итогам размещения текста проекта акта, в которой представлены сведения об учете или причинах отклонения представленных в рамках публичного обсуждения проекта акта, замечаний и предложений.</w:t>
      </w:r>
    </w:p>
    <w:p>
      <w:pPr>
        <w:pStyle w:val="Normal"/>
        <w:spacing w:lineRule="auto" w:line="360"/>
        <w:ind w:firstLine="709"/>
        <w:jc w:val="both"/>
        <w:rPr>
          <w:sz w:val="26"/>
          <w:szCs w:val="26"/>
        </w:rPr>
      </w:pPr>
      <w:r>
        <w:rPr>
          <w:sz w:val="26"/>
          <w:szCs w:val="26"/>
        </w:rPr>
        <w:t xml:space="preserve">В соответствии с пунктом 28 Правил Минэкономразвития России с 15 по 23 июля 2019 г. провело дополнительные публичные консультации с целью выявления мнения заинтересованных лиц относительно потенциальных рисков применения предлагаемого проектом акта правового регулирования, по результатам которых замечания </w:t>
        <w:br/>
        <w:t>и предложения представили АО «Тамбовское спиртовое предприятие «Талвис»,</w:t>
        <w:br/>
        <w:t>АО «Татспиртпром», СРО «Винодельческий союз», Ассоциация компаний розничной торговли, АШАН Ритейл Россия, АО «ДИКСИ Юг», Компания «Diageo», ООО «Фанагория-Розничная Сеть» (справка прилагается).</w:t>
      </w:r>
    </w:p>
    <w:p>
      <w:pPr>
        <w:pStyle w:val="Normal"/>
        <w:spacing w:lineRule="auto" w:line="360"/>
        <w:ind w:firstLine="709"/>
        <w:jc w:val="both"/>
        <w:rPr>
          <w:sz w:val="26"/>
          <w:szCs w:val="26"/>
        </w:rPr>
      </w:pPr>
      <w:r>
        <w:rPr>
          <w:sz w:val="26"/>
          <w:szCs w:val="26"/>
        </w:rPr>
        <w:t>Согласно данным сводного отчета «проект акта разработан в целях охраны здоровья граждан от негативного влияния употребления алкогольной продукции и предусматривает запрет продажи крепких алкогольных напитков лицам, не достигшим возраста 21 года».</w:t>
      </w:r>
    </w:p>
    <w:p>
      <w:pPr>
        <w:pStyle w:val="Normal"/>
        <w:spacing w:lineRule="auto" w:line="360"/>
        <w:ind w:firstLine="709"/>
        <w:jc w:val="both"/>
        <w:rPr>
          <w:sz w:val="26"/>
          <w:szCs w:val="26"/>
        </w:rPr>
      </w:pPr>
      <w:r>
        <w:rPr>
          <w:sz w:val="26"/>
          <w:szCs w:val="26"/>
        </w:rPr>
        <w:t xml:space="preserve">Разработчиком предлагается новая редакция подпункта 11 пункта 2 статьи 16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w:t>
        <w:br/>
        <w:t xml:space="preserve">и об ограничении потребления (распития) алкогольной продукции» (далее – </w:t>
        <w:br/>
        <w:t>Закон № 171-ФЗ), устанавливающего запрет продажи алкогольной продукции несовершеннолетним:</w:t>
      </w:r>
    </w:p>
    <w:p>
      <w:pPr>
        <w:pStyle w:val="Normal"/>
        <w:spacing w:lineRule="auto" w:line="360"/>
        <w:ind w:firstLine="709"/>
        <w:jc w:val="both"/>
        <w:rPr>
          <w:sz w:val="26"/>
          <w:szCs w:val="26"/>
        </w:rPr>
      </w:pPr>
      <w:r>
        <w:rPr>
          <w:sz w:val="26"/>
          <w:szCs w:val="26"/>
        </w:rPr>
        <w:t xml:space="preserve">«11) несовершеннолетним, а в случае продажи алкогольной продукции </w:t>
        <w:br/>
        <w:t>с содержанием этилового спирта более 16,5 процента объема готовой продукции – лицам, не достигшим возраста 21 года. В случае возникновения</w:t>
      </w:r>
      <w:r>
        <w:rPr/>
        <w:t xml:space="preserve"> </w:t>
      </w:r>
      <w:r>
        <w:rPr>
          <w:sz w:val="26"/>
          <w:szCs w:val="26"/>
        </w:rPr>
        <w:t xml:space="preserve">у лица, непосредственно осуществляющего отпуск алкогольной продукции (продавца), сомнения в достижении покупателем возраста, установленного настоящим Законом, продавец вправе потребовать </w:t>
        <w:br/>
        <w:t xml:space="preserve">у этого покупателя документ, позволяющий установить возраст этого покупателя». </w:t>
      </w:r>
    </w:p>
    <w:p>
      <w:pPr>
        <w:pStyle w:val="Normal"/>
        <w:spacing w:lineRule="auto" w:line="360"/>
        <w:ind w:firstLine="709"/>
        <w:jc w:val="both"/>
        <w:rPr>
          <w:sz w:val="26"/>
          <w:szCs w:val="26"/>
        </w:rPr>
      </w:pPr>
      <w:r>
        <w:rPr>
          <w:sz w:val="26"/>
          <w:szCs w:val="26"/>
        </w:rPr>
        <w:t>Обращаем внимание на следующие риски, связанные с реализацией проектируемого регулирования.</w:t>
      </w:r>
    </w:p>
    <w:p>
      <w:pPr>
        <w:pStyle w:val="Normal"/>
        <w:numPr>
          <w:ilvl w:val="0"/>
          <w:numId w:val="1"/>
        </w:numPr>
        <w:spacing w:lineRule="auto" w:line="360"/>
        <w:ind w:left="0" w:firstLine="709"/>
        <w:jc w:val="both"/>
        <w:rPr>
          <w:sz w:val="26"/>
          <w:szCs w:val="26"/>
        </w:rPr>
      </w:pPr>
      <w:r>
        <w:rPr>
          <w:sz w:val="26"/>
          <w:szCs w:val="26"/>
        </w:rPr>
        <w:t xml:space="preserve">Проектируемое регулирование может привести к существенным затруднениям в осуществлении торговой деятельности. </w:t>
      </w:r>
    </w:p>
    <w:p>
      <w:pPr>
        <w:pStyle w:val="Normal"/>
        <w:numPr>
          <w:ilvl w:val="1"/>
          <w:numId w:val="1"/>
        </w:numPr>
        <w:spacing w:lineRule="auto" w:line="360"/>
        <w:ind w:left="0" w:firstLine="709"/>
        <w:jc w:val="both"/>
        <w:rPr>
          <w:sz w:val="26"/>
          <w:szCs w:val="26"/>
        </w:rPr>
      </w:pPr>
      <w:r>
        <w:rPr>
          <w:sz w:val="26"/>
          <w:szCs w:val="26"/>
        </w:rPr>
        <w:t xml:space="preserve">Установление пограничного показателя крепости алкогольной продукции </w:t>
        <w:br/>
        <w:t xml:space="preserve">в 16,5 процента содержания этилового спирта в объеме готовой продукции (далее – пограничный показатель, 16,5%) приведет к усложнению работы сотрудников на кассах, осуществляющих непосредственную передачу продукции покупателю. Сначала необходимо будет оценить крепость алкогольной продукции (в случае наличия специального программного обеспечения кассового аппарата, позволяющего </w:t>
        <w:br/>
        <w:t xml:space="preserve">в автоматическом режиме получать информацию о продаваемой алкогольной </w:t>
        <w:br/>
        <w:t xml:space="preserve">продукции, в том числе о ее крепости, сотруднику достаточно «считать» </w:t>
        <w:br/>
        <w:t xml:space="preserve">соответствующую информацию, а в случае отсутствия такого оборудования </w:t>
        <w:br/>
        <w:t xml:space="preserve">необходимо будет изучать этикетку каждой продаваемой бутылки в поисках </w:t>
        <w:br/>
        <w:t xml:space="preserve">информации о крепости продукции), сопоставить ее с предполагаемым возрастом покупателя, в случае продажи «легкого алкоголя» (до 16,5%) – например, суммировать </w:t>
        <w:br/>
        <w:t xml:space="preserve">к указанной в паспорте дате рождения 18, в случае продажи «крепкого алкоголя» (свыше 16,5%) – к дате рождения, указанной в паспорте, прибавлять 21. Более того, визуально различить покупателей возрастной группы 15 и 18 лет зачастую легче, чем возрастной группы 18 лет и 21 года. </w:t>
      </w:r>
    </w:p>
    <w:p>
      <w:pPr>
        <w:pStyle w:val="Normal"/>
        <w:spacing w:lineRule="auto" w:line="360"/>
        <w:ind w:firstLine="709"/>
        <w:jc w:val="both"/>
        <w:rPr>
          <w:sz w:val="26"/>
          <w:szCs w:val="26"/>
        </w:rPr>
      </w:pPr>
      <w:r>
        <w:rPr>
          <w:sz w:val="26"/>
          <w:szCs w:val="26"/>
        </w:rPr>
        <w:t xml:space="preserve">Такое усложнение работы сотрудников на кассе может привести, с одной стороны, </w:t>
        <w:br/>
        <w:t>к росту ошибок продавцов, с другой стороны, к снижению скорости кассового обслуживания покупателей.</w:t>
      </w:r>
    </w:p>
    <w:p>
      <w:pPr>
        <w:pStyle w:val="Normal"/>
        <w:spacing w:lineRule="auto" w:line="360"/>
        <w:ind w:firstLine="709"/>
        <w:jc w:val="both"/>
        <w:rPr>
          <w:sz w:val="26"/>
          <w:szCs w:val="26"/>
        </w:rPr>
      </w:pPr>
      <w:r>
        <w:rPr>
          <w:sz w:val="26"/>
          <w:szCs w:val="26"/>
        </w:rPr>
        <w:t xml:space="preserve">Вместе с тем обращаем внимание, что нарушение запрета о продаже алкогольной продукции несовершеннолетним является как основанием для применения мер ответственности, предусмотренных частью 2.1 статьи 14.16 Кодекса Российской Федерации об административных правонарушениях, так и основанием для аннулирования лицензии на оборот этилового спирта, алкогольной и спиртосодержащей продукции </w:t>
        <w:br/>
        <w:t>по решению уполномоченного Правительством Российской Федерации федерального органа исполнительной власти.</w:t>
      </w:r>
    </w:p>
    <w:p>
      <w:pPr>
        <w:pStyle w:val="Normal"/>
        <w:numPr>
          <w:ilvl w:val="1"/>
          <w:numId w:val="1"/>
        </w:numPr>
        <w:spacing w:lineRule="auto" w:line="360"/>
        <w:ind w:left="0" w:firstLine="709"/>
        <w:jc w:val="both"/>
        <w:rPr>
          <w:sz w:val="26"/>
          <w:szCs w:val="26"/>
        </w:rPr>
      </w:pPr>
      <w:r>
        <w:rPr>
          <w:sz w:val="26"/>
          <w:szCs w:val="26"/>
        </w:rPr>
        <w:t xml:space="preserve">Кроме того, установление пограничного показателя приведет </w:t>
        <w:br/>
        <w:t xml:space="preserve">к необходимости внесения существенных изменений в операционные системы организаций, осуществляющих розничную продажу алкогольной продукции, </w:t>
        <w:br/>
        <w:t xml:space="preserve">а также дополнительного обучения персонала организаций торговли. </w:t>
      </w:r>
    </w:p>
    <w:p>
      <w:pPr>
        <w:pStyle w:val="Normal"/>
        <w:spacing w:lineRule="auto" w:line="360"/>
        <w:ind w:firstLine="709"/>
        <w:jc w:val="both"/>
        <w:rPr>
          <w:sz w:val="26"/>
          <w:szCs w:val="26"/>
        </w:rPr>
      </w:pPr>
      <w:r>
        <w:rPr>
          <w:sz w:val="26"/>
          <w:szCs w:val="26"/>
        </w:rPr>
        <w:t xml:space="preserve">Например, по оценкам АШАН Ритейл Россия, дополнительные затраты </w:t>
        <w:br/>
        <w:t xml:space="preserve">по дооборудованию кассовых аппаратов дополнительным программным обеспечением составят более 4 млн. рублей (для 100 магазинов). Кроме того, установление и наладка нового программного обеспечения, обучение сотрудников могут занять не менее </w:t>
        <w:br/>
        <w:t>2 месяцев.</w:t>
      </w:r>
    </w:p>
    <w:p>
      <w:pPr>
        <w:pStyle w:val="Normal"/>
        <w:numPr>
          <w:ilvl w:val="0"/>
          <w:numId w:val="1"/>
        </w:numPr>
        <w:spacing w:lineRule="auto" w:line="360"/>
        <w:ind w:left="0" w:firstLine="709"/>
        <w:jc w:val="both"/>
        <w:rPr>
          <w:sz w:val="26"/>
          <w:szCs w:val="26"/>
        </w:rPr>
      </w:pPr>
      <w:r>
        <w:rPr>
          <w:sz w:val="26"/>
          <w:szCs w:val="26"/>
        </w:rPr>
        <w:t xml:space="preserve">Согласно пункту 31 технического регламента Евразийского экономического союза «О безопасности алкогольной продукции» (ТР ТС 047/2018)» (далее – ТР ЕАЭС 047/2018) маркировка алкогольной продукции должна содержать надпись: </w:t>
        <w:br/>
        <w:t>«Не рекомендуется употреблять лицам в возрасте до 18 лет, беременным и кормящим женщинам, а также лицам с заболеваниями нервной системы и внутренних органов.».</w:t>
      </w:r>
    </w:p>
    <w:p>
      <w:pPr>
        <w:pStyle w:val="Normal"/>
        <w:spacing w:lineRule="auto" w:line="360"/>
        <w:ind w:firstLine="709"/>
        <w:jc w:val="both"/>
        <w:rPr>
          <w:sz w:val="26"/>
          <w:szCs w:val="26"/>
        </w:rPr>
      </w:pPr>
      <w:r>
        <w:rPr>
          <w:sz w:val="26"/>
          <w:szCs w:val="26"/>
        </w:rPr>
        <w:t>Представляется, что проектируемые ограничения розничной продажи алкогольной продукции вступают в противоречие с требованиями ТР ЕАЭС 047/2018 по маркировке алкогольной продукции.</w:t>
      </w:r>
    </w:p>
    <w:p>
      <w:pPr>
        <w:pStyle w:val="ListParagraph"/>
        <w:numPr>
          <w:ilvl w:val="0"/>
          <w:numId w:val="2"/>
        </w:numPr>
        <w:spacing w:lineRule="auto" w:line="360"/>
        <w:ind w:left="0" w:firstLine="709"/>
        <w:jc w:val="both"/>
        <w:rPr>
          <w:rFonts w:ascii="Times New Roman" w:hAnsi="Times New Roman" w:cs="Times New Roman"/>
          <w:sz w:val="26"/>
          <w:szCs w:val="26"/>
          <w:lang w:eastAsia="ru-RU"/>
        </w:rPr>
      </w:pPr>
      <w:r>
        <w:rPr>
          <w:rFonts w:cs="Times New Roman" w:ascii="Times New Roman" w:hAnsi="Times New Roman"/>
          <w:sz w:val="26"/>
          <w:szCs w:val="26"/>
          <w:lang w:eastAsia="ru-RU"/>
        </w:rPr>
        <w:t>Кроме того, представляется неясным выбор пограничного показателя: чем алкогольная продукция крепостью 16,5% является менее вредной, чем, например, продукция с содержанием этилового спирта 17% процента объема готовой продукции. Научных обоснований разработчиком не представлено.</w:t>
      </w:r>
    </w:p>
    <w:p>
      <w:pPr>
        <w:pStyle w:val="Normal"/>
        <w:spacing w:lineRule="auto" w:line="360"/>
        <w:ind w:firstLine="709"/>
        <w:jc w:val="both"/>
        <w:rPr>
          <w:sz w:val="26"/>
          <w:szCs w:val="26"/>
        </w:rPr>
      </w:pPr>
      <w:r>
        <w:rPr>
          <w:sz w:val="26"/>
          <w:szCs w:val="26"/>
        </w:rPr>
        <w:t>В соответствии с пунктом 5 ТР ТС 047/2018 «пунш - ликероводочное изделие крепостью от 15 до 20 процентов».</w:t>
      </w:r>
    </w:p>
    <w:p>
      <w:pPr>
        <w:pStyle w:val="Normal"/>
        <w:spacing w:lineRule="auto" w:line="360"/>
        <w:ind w:firstLine="709"/>
        <w:jc w:val="both"/>
        <w:rPr>
          <w:sz w:val="26"/>
          <w:szCs w:val="26"/>
        </w:rPr>
      </w:pPr>
      <w:r>
        <w:rPr>
          <w:sz w:val="26"/>
          <w:szCs w:val="26"/>
        </w:rPr>
        <w:t xml:space="preserve">Согласно логике разработчика, потребление в 19 лет пунша крепостью 15 % </w:t>
        <w:br/>
        <w:t>не наносит вреда головному мозгу, окончательное формирование которого, согласно сводному отчету, происходит к 21 году, в отличие от потребление пунша крепостью 20%.</w:t>
      </w:r>
    </w:p>
    <w:p>
      <w:pPr>
        <w:pStyle w:val="Normal"/>
        <w:numPr>
          <w:ilvl w:val="0"/>
          <w:numId w:val="2"/>
        </w:numPr>
        <w:spacing w:lineRule="auto" w:line="360"/>
        <w:ind w:left="0" w:firstLine="709"/>
        <w:jc w:val="both"/>
        <w:rPr>
          <w:sz w:val="26"/>
          <w:szCs w:val="26"/>
        </w:rPr>
      </w:pPr>
      <w:r>
        <w:rPr>
          <w:sz w:val="26"/>
          <w:szCs w:val="26"/>
        </w:rPr>
        <w:t>Предлагаемые проектом акта меры могут не позволить достичь заявленных целей регулирования, а их реализация может иметь отдельные отрицательные последствия.</w:t>
      </w:r>
    </w:p>
    <w:p>
      <w:pPr>
        <w:pStyle w:val="Normal"/>
        <w:spacing w:lineRule="auto" w:line="360"/>
        <w:ind w:firstLine="709"/>
        <w:jc w:val="both"/>
        <w:rPr>
          <w:sz w:val="26"/>
          <w:szCs w:val="26"/>
        </w:rPr>
      </w:pPr>
      <w:r>
        <w:rPr>
          <w:sz w:val="26"/>
          <w:szCs w:val="26"/>
        </w:rPr>
        <w:t xml:space="preserve">Представляется, что необоснованный запрет продажи алкогольной продукции </w:t>
        <w:br/>
        <w:t xml:space="preserve">для определенной категории потребителей может привести к увеличению уровня нелегальных продаж алкогольной продукции, а также привести к росту теневого рынка производства и оборота алкогольной продукции.  </w:t>
      </w:r>
    </w:p>
    <w:p>
      <w:pPr>
        <w:pStyle w:val="Normal"/>
        <w:spacing w:lineRule="auto" w:line="360"/>
        <w:ind w:firstLine="709"/>
        <w:jc w:val="both"/>
        <w:rPr>
          <w:sz w:val="26"/>
          <w:szCs w:val="26"/>
        </w:rPr>
      </w:pPr>
      <w:r>
        <w:rPr>
          <w:sz w:val="26"/>
          <w:szCs w:val="26"/>
        </w:rPr>
        <w:t>Так, согласно данным Росалкогольрегулирования</w:t>
      </w:r>
      <w:r>
        <w:rPr>
          <w:rStyle w:val="FootnoteCharacters"/>
          <w:rStyle w:val="Style17"/>
          <w:sz w:val="26"/>
          <w:szCs w:val="26"/>
        </w:rPr>
        <w:footnoteReference w:id="2"/>
      </w:r>
      <w:r>
        <w:rPr>
          <w:sz w:val="26"/>
          <w:szCs w:val="26"/>
        </w:rPr>
        <w:t xml:space="preserve"> треть водки (30,8 %), проверенной в 2018 году Росалкогольрегулированием, находилась в нелегальном обороте. </w:t>
      </w:r>
    </w:p>
    <w:p>
      <w:pPr>
        <w:pStyle w:val="Normal"/>
        <w:spacing w:lineRule="auto" w:line="360"/>
        <w:ind w:firstLine="709"/>
        <w:jc w:val="both"/>
        <w:rPr>
          <w:sz w:val="26"/>
          <w:szCs w:val="26"/>
        </w:rPr>
      </w:pPr>
      <w:r>
        <w:rPr>
          <w:sz w:val="26"/>
          <w:szCs w:val="26"/>
        </w:rPr>
        <w:t xml:space="preserve">Кроме того, проектируемые меры могут привести и к росту потребления суррогатной алкогольной продукции молодыми людьми в возрасте от 18 до 21 года, </w:t>
        <w:br/>
        <w:t>что в свою очередь может привести к существенно более тяжелым последствиям, чем потребление совершеннолетними правоспособными гражданами легально произведенной безопасной алкогольной продукции.</w:t>
      </w:r>
    </w:p>
    <w:p>
      <w:pPr>
        <w:pStyle w:val="Normal"/>
        <w:spacing w:lineRule="auto" w:line="360"/>
        <w:ind w:firstLine="709"/>
        <w:jc w:val="both"/>
        <w:rPr>
          <w:sz w:val="26"/>
          <w:szCs w:val="26"/>
        </w:rPr>
      </w:pPr>
      <w:r>
        <w:rPr>
          <w:sz w:val="26"/>
          <w:szCs w:val="26"/>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pPr>
        <w:pStyle w:val="Normal"/>
        <w:spacing w:lineRule="auto" w:line="360"/>
        <w:ind w:firstLine="709"/>
        <w:jc w:val="both"/>
        <w:rPr>
          <w:sz w:val="26"/>
          <w:szCs w:val="26"/>
        </w:rPr>
      </w:pPr>
      <w:r>
        <w:rPr>
          <w:sz w:val="26"/>
          <w:szCs w:val="26"/>
        </w:rPr>
        <w:t>На основе проведенной оценки регулирующего воздействия проекта акта Минэкономразвития России сделан вывод о недостаточном обосновании решения проблемы предложенным способом регулирования, а также о наличии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pPr>
        <w:pStyle w:val="Normal"/>
        <w:spacing w:lineRule="auto" w:line="360"/>
        <w:ind w:firstLine="709"/>
        <w:jc w:val="both"/>
        <w:rPr>
          <w:sz w:val="26"/>
          <w:szCs w:val="26"/>
        </w:rPr>
      </w:pPr>
      <w:r>
        <w:rPr>
          <w:sz w:val="26"/>
          <w:szCs w:val="26"/>
        </w:rPr>
        <w:t>Приложение: на 10 л. в 1 экз.</w:t>
      </w:r>
    </w:p>
    <w:p>
      <w:pPr>
        <w:pStyle w:val="Normal"/>
        <w:spacing w:lineRule="auto" w:line="360"/>
        <w:ind w:firstLine="709"/>
        <w:jc w:val="both"/>
        <w:rPr/>
      </w:pPr>
      <w:r>
        <w:rPr/>
      </w:r>
    </w:p>
    <w:sectPr>
      <w:headerReference w:type="default" r:id="rId5"/>
      <w:footnotePr>
        <w:numFmt w:val="decimal"/>
      </w:footnotePr>
      <w:type w:val="nextPage"/>
      <w:pgSz w:w="11906" w:h="16838"/>
      <w:pgMar w:left="1134" w:right="567" w:header="567" w:top="1134"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Calibr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rPr/>
      </w:pPr>
      <w:r>
        <w:rPr>
          <w:rStyle w:val="Style18"/>
        </w:rPr>
        <w:footnoteRef/>
      </w:r>
      <w:r>
        <w:rPr>
          <w:rStyle w:val="FootnoteCharacters"/>
        </w:rPr>
        <w:tab/>
      </w:r>
      <w:r>
        <w:rPr/>
        <w:t xml:space="preserve"> </w:t>
      </w:r>
      <w:r>
        <w:fldChar w:fldCharType="begin"/>
      </w:r>
      <w:r>
        <w:rPr>
          <w:rStyle w:val="Style14"/>
        </w:rPr>
        <w:instrText> HYPERLINK "http://www.rbc.ru/business/18/04/2019/5cb862b19a794736591be11" \l "ws"</w:instrText>
      </w:r>
      <w:r>
        <w:rPr>
          <w:rStyle w:val="Style14"/>
        </w:rPr>
        <w:fldChar w:fldCharType="separate"/>
      </w:r>
      <w:r>
        <w:rPr>
          <w:rStyle w:val="Style14"/>
          <w:lang w:val="en-US"/>
        </w:rPr>
        <w:t>www.rbc.ru/business/18/04/2019/5cb862b19a794736591be11#ws</w:t>
      </w:r>
      <w:r>
        <w:rPr>
          <w:rStyle w:val="Style14"/>
        </w:rPr>
        <w:fldChar w:fldCharType="end"/>
      </w:r>
      <w:r>
        <w:rPr>
          <w:lang w:val="en-US"/>
        </w:rPr>
        <w:t xml:space="preserve"> </w:t>
      </w:r>
    </w:p>
    <w:p>
      <w:pPr>
        <w:pStyle w:val="Style29"/>
        <w:rPr/>
      </w:pPr>
      <w:r>
        <w:rPr/>
        <w:tab/>
        <w:t xml:space="preserve">  </w:t>
      </w:r>
      <w:hyperlink r:id="rId1">
        <w:r>
          <w:rPr>
            <w:rStyle w:val="Style14"/>
            <w:lang w:val="en-US"/>
          </w:rPr>
          <w:t>www</w:t>
        </w:r>
        <w:r>
          <w:rPr>
            <w:rStyle w:val="Style14"/>
          </w:rPr>
          <w:t>.</w:t>
        </w:r>
        <w:r>
          <w:rPr>
            <w:rStyle w:val="Style14"/>
            <w:lang w:val="en-US"/>
          </w:rPr>
          <w:t>fsrar</w:t>
        </w:r>
        <w:r>
          <w:rPr>
            <w:rStyle w:val="Style14"/>
          </w:rPr>
          <w:t>.</w:t>
        </w:r>
        <w:r>
          <w:rPr>
            <w:rStyle w:val="Style14"/>
            <w:lang w:val="en-US"/>
          </w:rPr>
          <w:t>ru</w:t>
        </w:r>
        <w:r>
          <w:rPr>
            <w:rStyle w:val="Style14"/>
          </w:rPr>
          <w:t>/</w:t>
        </w:r>
        <w:r>
          <w:rPr>
            <w:rStyle w:val="Style14"/>
            <w:lang w:val="en-US"/>
          </w:rPr>
          <w:t>activities</w:t>
        </w:r>
        <w:r>
          <w:rPr>
            <w:rStyle w:val="Style14"/>
          </w:rPr>
          <w:t>/</w:t>
        </w:r>
        <w:r>
          <w:rPr>
            <w:rStyle w:val="Style14"/>
            <w:lang w:val="en-US"/>
          </w:rPr>
          <w:t>informacionnye</w:t>
        </w:r>
        <w:r>
          <w:rPr>
            <w:rStyle w:val="Style14"/>
          </w:rPr>
          <w:t>-</w:t>
        </w:r>
        <w:r>
          <w:rPr>
            <w:rStyle w:val="Style14"/>
            <w:lang w:val="en-US"/>
          </w:rPr>
          <w:t>materialy</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76835" cy="1752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6"/>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52.1pt;mso-position-horizontal:center;mso-position-horizontal-relative:margin">
              <v:fill opacity="0f"/>
              <v:textbox inset="0in,0in,0in,0in">
                <w:txbxContent>
                  <w:p>
                    <w:pPr>
                      <w:pStyle w:val="Style26"/>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29a7"/>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semiHidden/>
    <w:qFormat/>
    <w:rPr/>
  </w:style>
  <w:style w:type="character" w:styleId="Pagenumber">
    <w:name w:val="page number"/>
    <w:basedOn w:val="DefaultParagraphFont"/>
    <w:qFormat/>
    <w:rsid w:val="00a529a7"/>
    <w:rPr/>
  </w:style>
  <w:style w:type="character" w:styleId="Style14">
    <w:name w:val="Интернет-ссылка"/>
    <w:rsid w:val="0090466c"/>
    <w:rPr>
      <w:color w:val="0000FF"/>
      <w:u w:val="single"/>
    </w:rPr>
  </w:style>
  <w:style w:type="character" w:styleId="Style15" w:customStyle="1">
    <w:name w:val="Текст выноски Знак"/>
    <w:link w:val="aa"/>
    <w:qFormat/>
    <w:rsid w:val="00d12f6a"/>
    <w:rPr>
      <w:rFonts w:ascii="Tahoma" w:hAnsi="Tahoma" w:cs="Tahoma"/>
      <w:sz w:val="16"/>
      <w:szCs w:val="16"/>
    </w:rPr>
  </w:style>
  <w:style w:type="character" w:styleId="Style16" w:customStyle="1">
    <w:name w:val="Текст сноски Знак"/>
    <w:basedOn w:val="DefaultParagraphFont"/>
    <w:link w:val="ac"/>
    <w:qFormat/>
    <w:rsid w:val="00e32eca"/>
    <w:rPr/>
  </w:style>
  <w:style w:type="character" w:styleId="Style17">
    <w:name w:val="Привязка сноски"/>
    <w:rPr>
      <w:vertAlign w:val="superscript"/>
    </w:rPr>
  </w:style>
  <w:style w:type="character" w:styleId="FootnoteCharacters">
    <w:name w:val="Footnote Characters"/>
    <w:qFormat/>
    <w:rsid w:val="00e32eca"/>
    <w:rPr>
      <w:vertAlign w:val="superscript"/>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val="false"/>
    </w:rPr>
  </w:style>
  <w:style w:type="character" w:styleId="ListLabel6">
    <w:name w:val="ListLabel 6"/>
    <w:qFormat/>
    <w:rPr>
      <w:b/>
    </w:rPr>
  </w:style>
  <w:style w:type="character" w:styleId="ListLabel7">
    <w:name w:val="ListLabel 7"/>
    <w:qFormat/>
    <w:rPr>
      <w:rFonts w:cs="Times New Roman"/>
      <w:sz w:val="26"/>
    </w:rPr>
  </w:style>
  <w:style w:type="character" w:styleId="ListLabel8">
    <w:name w:val="ListLabel 8"/>
    <w:qFormat/>
    <w:rPr>
      <w:rFonts w:cs="Times New Roman"/>
      <w:sz w:val="26"/>
    </w:rPr>
  </w:style>
  <w:style w:type="character" w:styleId="ListLabel9">
    <w:name w:val="ListLabel 9"/>
    <w:qFormat/>
    <w:rPr>
      <w:rFonts w:cs="Times New Roman"/>
      <w:sz w:val="26"/>
    </w:rPr>
  </w:style>
  <w:style w:type="character" w:styleId="ListLabel10">
    <w:name w:val="ListLabel 10"/>
    <w:qFormat/>
    <w:rPr>
      <w:rFonts w:cs="Times New Roman"/>
      <w:sz w:val="26"/>
    </w:rPr>
  </w:style>
  <w:style w:type="character" w:styleId="ListLabel11">
    <w:name w:val="ListLabel 11"/>
    <w:qFormat/>
    <w:rPr>
      <w:rFonts w:cs="Times New Roman"/>
      <w:sz w:val="26"/>
    </w:rPr>
  </w:style>
  <w:style w:type="character" w:styleId="ListLabel12">
    <w:name w:val="ListLabel 12"/>
    <w:qFormat/>
    <w:rPr>
      <w:rFonts w:cs="Times New Roman"/>
      <w:sz w:val="26"/>
    </w:rPr>
  </w:style>
  <w:style w:type="character" w:styleId="ListLabel13">
    <w:name w:val="ListLabel 13"/>
    <w:qFormat/>
    <w:rPr>
      <w:rFonts w:cs="Times New Roman"/>
      <w:sz w:val="26"/>
    </w:rPr>
  </w:style>
  <w:style w:type="character" w:styleId="ListLabel14">
    <w:name w:val="ListLabel 14"/>
    <w:qFormat/>
    <w:rPr>
      <w:rFonts w:cs="Times New Roman"/>
      <w:sz w:val="26"/>
    </w:rPr>
  </w:style>
  <w:style w:type="character" w:styleId="ListLabel15">
    <w:name w:val="ListLabel 15"/>
    <w:qFormat/>
    <w:rPr>
      <w:sz w:val="26"/>
      <w:szCs w:val="26"/>
    </w:rPr>
  </w:style>
  <w:style w:type="character" w:styleId="Style18">
    <w:name w:val="Символ сноски"/>
    <w:qForma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Droid Sans Fallback"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NormalWeb">
    <w:name w:val="Normal (Web)"/>
    <w:basedOn w:val="Normal"/>
    <w:qFormat/>
    <w:rsid w:val="00a529a7"/>
    <w:pPr>
      <w:spacing w:beforeAutospacing="1" w:afterAutospacing="1"/>
    </w:pPr>
    <w:rPr/>
  </w:style>
  <w:style w:type="paragraph" w:styleId="Style26">
    <w:name w:val="Header"/>
    <w:basedOn w:val="Normal"/>
    <w:rsid w:val="00a529a7"/>
    <w:pPr>
      <w:tabs>
        <w:tab w:val="center" w:pos="4677" w:leader="none"/>
        <w:tab w:val="right" w:pos="9355" w:leader="none"/>
      </w:tabs>
    </w:pPr>
    <w:rPr/>
  </w:style>
  <w:style w:type="paragraph" w:styleId="Style27">
    <w:name w:val="Footer"/>
    <w:basedOn w:val="Normal"/>
    <w:rsid w:val="00a529a7"/>
    <w:pPr>
      <w:tabs>
        <w:tab w:val="center" w:pos="4677" w:leader="none"/>
        <w:tab w:val="right" w:pos="9355" w:leader="none"/>
      </w:tabs>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a529a7"/>
    <w:pPr>
      <w:spacing w:beforeAutospacing="1" w:afterAutospacing="1"/>
    </w:pPr>
    <w:rPr>
      <w:rFonts w:ascii="Tahoma" w:hAnsi="Tahoma"/>
      <w:sz w:val="20"/>
      <w:szCs w:val="20"/>
      <w:lang w:val="en-US" w:eastAsia="en-US"/>
    </w:rPr>
  </w:style>
  <w:style w:type="paragraph" w:styleId="ConsPlusNormal" w:customStyle="1">
    <w:name w:val="ConsPlusNormal"/>
    <w:qFormat/>
    <w:rsid w:val="00787896"/>
    <w:pPr>
      <w:widowControl w:val="false"/>
      <w:suppressAutoHyphens w:val="true"/>
      <w:bidi w:val="0"/>
      <w:ind w:firstLine="720"/>
      <w:jc w:val="left"/>
    </w:pPr>
    <w:rPr>
      <w:rFonts w:ascii="Arial" w:hAnsi="Arial" w:eastAsia="Arial" w:cs="Arial"/>
      <w:color w:val="auto"/>
      <w:kern w:val="0"/>
      <w:sz w:val="24"/>
      <w:szCs w:val="20"/>
      <w:lang w:eastAsia="ar-SA" w:val="ru-RU" w:bidi="ar-SA"/>
    </w:rPr>
  </w:style>
  <w:style w:type="paragraph" w:styleId="ConsPlusNonformat" w:customStyle="1">
    <w:name w:val="ConsPlusNonformat"/>
    <w:uiPriority w:val="99"/>
    <w:qFormat/>
    <w:rsid w:val="00c63c9c"/>
    <w:pPr>
      <w:widowControl w:val="false"/>
      <w:bidi w:val="0"/>
      <w:jc w:val="left"/>
    </w:pPr>
    <w:rPr>
      <w:rFonts w:ascii="Courier New" w:hAnsi="Courier New" w:cs="Courier New" w:eastAsia="Times New Roman"/>
      <w:color w:val="auto"/>
      <w:kern w:val="0"/>
      <w:sz w:val="24"/>
      <w:szCs w:val="20"/>
      <w:lang w:val="ru-RU" w:eastAsia="ru-RU" w:bidi="ar-SA"/>
    </w:rPr>
  </w:style>
  <w:style w:type="paragraph" w:styleId="ConsPlusTitle" w:customStyle="1">
    <w:name w:val="ConsPlusTitle"/>
    <w:uiPriority w:val="99"/>
    <w:qFormat/>
    <w:rsid w:val="00c63c9c"/>
    <w:pPr>
      <w:widowControl w:val="false"/>
      <w:bidi w:val="0"/>
      <w:jc w:val="left"/>
    </w:pPr>
    <w:rPr>
      <w:rFonts w:ascii="Times New Roman" w:hAnsi="Times New Roman" w:eastAsia="Times New Roman" w:cs="Times New Roman"/>
      <w:b/>
      <w:bCs/>
      <w:color w:val="auto"/>
      <w:kern w:val="0"/>
      <w:sz w:val="28"/>
      <w:szCs w:val="28"/>
      <w:lang w:val="ru-RU" w:eastAsia="ru-RU" w:bidi="ar-SA"/>
    </w:rPr>
  </w:style>
  <w:style w:type="paragraph" w:styleId="Style28" w:customStyle="1">
    <w:name w:val="Стиль"/>
    <w:qFormat/>
    <w:rsid w:val="005a0cd8"/>
    <w:pPr>
      <w:widowControl w:val="false"/>
      <w:bidi w:val="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b"/>
    <w:qFormat/>
    <w:rsid w:val="00d12f6a"/>
    <w:pPr/>
    <w:rPr>
      <w:rFonts w:ascii="Tahoma" w:hAnsi="Tahoma" w:cs="Tahoma"/>
      <w:sz w:val="16"/>
      <w:szCs w:val="16"/>
    </w:rPr>
  </w:style>
  <w:style w:type="paragraph" w:styleId="Style29">
    <w:name w:val="Footnote Text"/>
    <w:basedOn w:val="Normal"/>
    <w:link w:val="ad"/>
    <w:rsid w:val="00e32eca"/>
    <w:pPr/>
    <w:rPr>
      <w:sz w:val="20"/>
      <w:szCs w:val="20"/>
    </w:rPr>
  </w:style>
  <w:style w:type="paragraph" w:styleId="ListParagraph">
    <w:name w:val="List Paragraph"/>
    <w:basedOn w:val="Normal"/>
    <w:uiPriority w:val="34"/>
    <w:qFormat/>
    <w:rsid w:val="007e199a"/>
    <w:pPr>
      <w:ind w:left="720" w:hanging="0"/>
    </w:pPr>
    <w:rPr>
      <w:rFonts w:ascii="Calibri" w:hAnsi="Calibri" w:eastAsia="Calibri" w:cs="Calibri"/>
      <w:sz w:val="22"/>
      <w:szCs w:val="22"/>
      <w:lang w:eastAsia="en-US"/>
    </w:rPr>
  </w:style>
  <w:style w:type="paragraph" w:styleId="Style30">
    <w:name w:val="Содержимое врезки"/>
    <w:basedOn w:val="Normal"/>
    <w:qFormat/>
    <w:pPr/>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 w:type="table" w:styleId="a7">
    <w:name w:val="Table Grid"/>
    <w:basedOn w:val="a1"/>
    <w:uiPriority w:val="59"/>
    <w:rsid w:val="00a529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BA08EE99C2022DE71ADFECAE9577BE72075799551A3462E21629B24CE791004B53157828517DCAFT4f9P" TargetMode="External"/><Relationship Id="rId3" Type="http://schemas.openxmlformats.org/officeDocument/2006/relationships/hyperlink" Target="consultantplus://offline/ref=CBA08EE99C2022DE71ADFECAE9577BE72075799551A3462E21629B24CE791004B53157828517DCA9T4fAP" TargetMode="External"/><Relationship Id="rId4" Type="http://schemas.openxmlformats.org/officeDocument/2006/relationships/hyperlink" Target="consultantplus://offline/ref=CBA08EE99C2022DE71ADFECAE9577BE72075799551A3462E21629B24CE791004B53157828517DDADT4fFP" TargetMode="External"/><Relationship Id="rId5"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fsrar.ru/activities/informacionnye-materialy"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8BB4-374B-492F-98C2-00CDBBC7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LibreOffice/6.0.7.3.0$Linux_X86_64 LibreOffice_project/00m0$Build-3</Application>
  <Pages>3</Pages>
  <Words>1127</Words>
  <Characters>8310</Characters>
  <CharactersWithSpaces>9443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2019-08-02T08:09:00Z</dcterms:created>
  <dc:creator>SubbotinaMM</dc:creator>
  <dc:description/>
  <dc:language>ru-RU</dc:language>
  <cp:lastModifiedBy>Субботина Мария Михайловна</cp:lastModifiedBy>
  <cp:lastPrinted>2019-07-30T15:52:00Z</cp:lastPrinted>
  <dcterms:modified xsi:type="dcterms:W3CDTF">2019-08-02T08:09:00Z</dcterms:modified>
  <cp:revision>2</cp:revision>
  <dc:subject/>
  <dc:title>Росалкогольрегулирования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