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2000000">
      <w:pPr>
        <w:widowControl w:val="0"/>
        <w:ind/>
        <w:rPr>
          <w:sz w:val="26"/>
        </w:rPr>
      </w:pPr>
    </w:p>
    <w:p w14:paraId="03000000">
      <w:pPr>
        <w:widowControl w:val="0"/>
        <w:ind/>
        <w:rPr>
          <w:sz w:val="26"/>
        </w:rPr>
      </w:pPr>
    </w:p>
    <w:p w14:paraId="04000000">
      <w:pPr>
        <w:widowControl w:val="0"/>
        <w:ind/>
        <w:rPr>
          <w:sz w:val="26"/>
        </w:rPr>
      </w:pPr>
    </w:p>
    <w:p w14:paraId="05000000">
      <w:pPr>
        <w:widowControl w:val="0"/>
        <w:ind/>
        <w:rPr>
          <w:sz w:val="26"/>
        </w:rPr>
      </w:pPr>
    </w:p>
    <w:p w14:paraId="06000000">
      <w:pPr>
        <w:widowControl w:val="0"/>
        <w:ind/>
        <w:rPr>
          <w:sz w:val="26"/>
        </w:rPr>
      </w:pPr>
    </w:p>
    <w:p w14:paraId="07000000">
      <w:pPr>
        <w:widowControl w:val="0"/>
        <w:ind/>
        <w:rPr>
          <w:sz w:val="26"/>
        </w:rPr>
      </w:pPr>
      <w:r>
        <w:rPr>
          <w:sz w:val="26"/>
        </w:rPr>
        <w:t>№ 29062-СШ/Д26и от 29.08.2019 г.</w:t>
      </w:r>
    </w:p>
    <w:p w14:paraId="08000000">
      <w:pPr>
        <w:widowControl w:val="0"/>
        <w:ind/>
        <w:rPr>
          <w:sz w:val="26"/>
        </w:rPr>
      </w:pPr>
    </w:p>
    <w:p w14:paraId="09000000">
      <w:pPr>
        <w:widowControl w:val="0"/>
        <w:ind/>
        <w:rPr>
          <w:sz w:val="26"/>
        </w:rPr>
      </w:pPr>
    </w:p>
    <w:p w14:paraId="0A000000">
      <w:pPr>
        <w:widowControl w:val="0"/>
        <w:ind/>
        <w:jc w:val="center"/>
        <w:rPr>
          <w:sz w:val="26"/>
        </w:rPr>
      </w:pPr>
    </w:p>
    <w:p w14:paraId="0B000000">
      <w:pPr>
        <w:widowControl w:val="0"/>
        <w:spacing w:line="252" w:lineRule="auto"/>
        <w:ind/>
        <w:jc w:val="center"/>
        <w:rPr>
          <w:sz w:val="26"/>
        </w:rPr>
      </w:pPr>
      <w:r>
        <w:rPr>
          <w:sz w:val="26"/>
        </w:rPr>
        <w:t>ЗАКЛЮЧЕНИЕ</w:t>
      </w:r>
    </w:p>
    <w:p w14:paraId="0C000000">
      <w:pPr>
        <w:spacing w:line="252" w:lineRule="auto"/>
        <w:ind/>
        <w:jc w:val="center"/>
        <w:rPr>
          <w:sz w:val="26"/>
        </w:rPr>
      </w:pPr>
      <w:r>
        <w:rPr>
          <w:sz w:val="26"/>
        </w:rPr>
        <w:t xml:space="preserve">об оценке регулирующего воздействия на проект </w:t>
      </w:r>
      <w:r>
        <w:rPr>
          <w:sz w:val="26"/>
        </w:rPr>
        <w:t xml:space="preserve">приказа Минтранса России </w:t>
      </w:r>
      <w:r>
        <w:rPr>
          <w:sz w:val="26"/>
        </w:rPr>
        <w:br/>
      </w:r>
      <w:r>
        <w:rPr>
          <w:sz w:val="26"/>
        </w:rPr>
        <w:t>«</w:t>
      </w:r>
      <w:r>
        <w:rPr>
          <w:sz w:val="26"/>
        </w:rPr>
        <w:t>Об утверждении Правил перевозок железнодорожным транспортом грузов мелкими отправками</w:t>
      </w:r>
      <w:r>
        <w:rPr>
          <w:sz w:val="26"/>
        </w:rPr>
        <w:t>»</w:t>
      </w:r>
    </w:p>
    <w:p w14:paraId="0D000000">
      <w:pPr>
        <w:spacing w:line="252" w:lineRule="auto"/>
        <w:ind/>
        <w:jc w:val="center"/>
      </w:pPr>
    </w:p>
    <w:p w14:paraId="0E000000">
      <w:pPr>
        <w:spacing w:line="360" w:lineRule="auto"/>
        <w:ind w:firstLine="709" w:left="0"/>
        <w:jc w:val="both"/>
      </w:pPr>
      <w:r>
        <w:rPr>
          <w:sz w:val="26"/>
        </w:rPr>
        <w:t>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w:t>
      </w:r>
      <w:r>
        <w:rPr>
          <w:sz w:val="26"/>
        </w:rPr>
        <w:br/>
      </w:r>
      <w:r>
        <w:rPr>
          <w:sz w:val="26"/>
        </w:rPr>
        <w:t xml:space="preserve">от 17 декабря 2012 г. № 1318 (далее – Правила), рассмотрело проект </w:t>
      </w:r>
      <w:r>
        <w:rPr>
          <w:sz w:val="26"/>
        </w:rPr>
        <w:t>приказа Минтранса России «</w:t>
      </w:r>
      <w:r>
        <w:rPr>
          <w:sz w:val="26"/>
        </w:rPr>
        <w:t>«</w:t>
      </w:r>
      <w:r>
        <w:rPr>
          <w:sz w:val="26"/>
        </w:rPr>
        <w:t>Об утверждении Правил перевозок железнодорожным транспортом грузов мелкими отправками</w:t>
      </w:r>
      <w:r>
        <w:rPr>
          <w:sz w:val="26"/>
        </w:rPr>
        <w:t>»</w:t>
      </w:r>
      <w:r>
        <w:rPr>
          <w:sz w:val="26"/>
        </w:rPr>
        <w:t>»</w:t>
      </w:r>
      <w:r>
        <w:rPr>
          <w:sz w:val="26"/>
        </w:rPr>
        <w:t xml:space="preserve"> </w:t>
      </w:r>
      <w:r>
        <w:rPr>
          <w:sz w:val="26"/>
        </w:rPr>
        <w:t xml:space="preserve">(далее – проект </w:t>
      </w:r>
      <w:r>
        <w:rPr>
          <w:sz w:val="26"/>
        </w:rPr>
        <w:t>акта</w:t>
      </w:r>
      <w:r>
        <w:rPr>
          <w:sz w:val="26"/>
        </w:rPr>
        <w:t>) и сообщает следующее.</w:t>
      </w:r>
    </w:p>
    <w:p w14:paraId="0F000000">
      <w:pPr>
        <w:spacing w:line="360" w:lineRule="auto"/>
        <w:ind w:firstLine="709" w:left="0"/>
        <w:jc w:val="both"/>
        <w:rPr>
          <w:sz w:val="26"/>
        </w:rPr>
      </w:pPr>
      <w:r>
        <w:rPr>
          <w:sz w:val="26"/>
        </w:rPr>
        <w:t xml:space="preserve">Проект </w:t>
      </w:r>
      <w:r>
        <w:rPr>
          <w:sz w:val="26"/>
        </w:rPr>
        <w:t>акта</w:t>
      </w:r>
      <w:r>
        <w:rPr>
          <w:sz w:val="26"/>
        </w:rPr>
        <w:t xml:space="preserve"> направлен разработчиком для подготовки настоящего заключения впервые. </w:t>
      </w:r>
    </w:p>
    <w:p w14:paraId="10000000">
      <w:pPr>
        <w:pStyle w:val="Style_2"/>
        <w:spacing w:line="360" w:lineRule="auto"/>
        <w:ind w:firstLine="709" w:left="0"/>
        <w:jc w:val="both"/>
      </w:pPr>
      <w:r>
        <w:rPr>
          <w:sz w:val="26"/>
        </w:rPr>
        <w:t xml:space="preserve">Разработчиком проведены публичные обсуждения </w:t>
      </w:r>
      <w:r>
        <w:rPr>
          <w:sz w:val="26"/>
        </w:rPr>
        <w:t xml:space="preserve">текста </w:t>
      </w:r>
      <w:r>
        <w:rPr>
          <w:sz w:val="26"/>
        </w:rPr>
        <w:t>проекта акта</w:t>
      </w:r>
      <w:r>
        <w:rPr>
          <w:sz w:val="26"/>
        </w:rPr>
        <w:t xml:space="preserve"> </w:t>
      </w:r>
      <w:r>
        <w:rPr>
          <w:sz w:val="26"/>
        </w:rPr>
        <w:t xml:space="preserve">и сводного отчета в срок с </w:t>
      </w:r>
      <w:r>
        <w:rPr>
          <w:sz w:val="26"/>
        </w:rPr>
        <w:t>1</w:t>
      </w:r>
      <w:r>
        <w:rPr>
          <w:sz w:val="26"/>
        </w:rPr>
        <w:t>2 июля</w:t>
      </w:r>
      <w:r>
        <w:rPr>
          <w:sz w:val="26"/>
        </w:rPr>
        <w:t xml:space="preserve"> по </w:t>
      </w:r>
      <w:r>
        <w:rPr>
          <w:sz w:val="26"/>
        </w:rPr>
        <w:t>1</w:t>
      </w:r>
      <w:r>
        <w:rPr>
          <w:sz w:val="26"/>
        </w:rPr>
        <w:t xml:space="preserve"> </w:t>
      </w:r>
      <w:r>
        <w:rPr>
          <w:sz w:val="26"/>
        </w:rPr>
        <w:t>августа</w:t>
      </w:r>
      <w:r>
        <w:rPr>
          <w:sz w:val="26"/>
        </w:rPr>
        <w:t xml:space="preserve"> 201</w:t>
      </w:r>
      <w:r>
        <w:rPr>
          <w:sz w:val="26"/>
        </w:rPr>
        <w:t>9</w:t>
      </w:r>
      <w:r>
        <w:rPr>
          <w:sz w:val="26"/>
        </w:rPr>
        <w:t xml:space="preserve"> года. Информация об оценке регулирующего воздействия законопроекта размещена разработчиком на официальном сайте </w:t>
      </w:r>
      <w:r>
        <w:rPr>
          <w:sz w:val="26"/>
        </w:rPr>
        <w:br/>
      </w:r>
      <w:r>
        <w:rPr>
          <w:sz w:val="26"/>
        </w:rPr>
        <w:t xml:space="preserve">в информационно-телекоммуникационной сети «Интернет» по адресу: regulation.gov.ru </w:t>
      </w:r>
      <w:r>
        <w:rPr>
          <w:sz w:val="26"/>
        </w:rPr>
        <w:br/>
      </w:r>
      <w:r>
        <w:rPr>
          <w:sz w:val="26"/>
        </w:rPr>
        <w:t>(ID проекта: 02/08/0</w:t>
      </w:r>
      <w:r>
        <w:rPr>
          <w:sz w:val="26"/>
        </w:rPr>
        <w:t>7</w:t>
      </w:r>
      <w:r>
        <w:rPr>
          <w:sz w:val="26"/>
        </w:rPr>
        <w:t>-1</w:t>
      </w:r>
      <w:r>
        <w:rPr>
          <w:sz w:val="26"/>
        </w:rPr>
        <w:t>9</w:t>
      </w:r>
      <w:r>
        <w:rPr>
          <w:sz w:val="26"/>
        </w:rPr>
        <w:t>/000</w:t>
      </w:r>
      <w:r>
        <w:rPr>
          <w:sz w:val="26"/>
        </w:rPr>
        <w:t>9</w:t>
      </w:r>
      <w:r>
        <w:rPr>
          <w:sz w:val="26"/>
        </w:rPr>
        <w:t>3065</w:t>
      </w:r>
      <w:r>
        <w:rPr>
          <w:sz w:val="26"/>
        </w:rPr>
        <w:t>).</w:t>
      </w:r>
    </w:p>
    <w:p w14:paraId="11000000">
      <w:pPr>
        <w:spacing w:line="360" w:lineRule="auto"/>
        <w:ind w:firstLine="709" w:left="0"/>
        <w:jc w:val="both"/>
        <w:rPr>
          <w:sz w:val="26"/>
        </w:rPr>
      </w:pPr>
      <w:r>
        <w:rPr>
          <w:sz w:val="26"/>
        </w:rPr>
        <w:t>В настоящее время перевозки грузов</w:t>
      </w:r>
      <w:r>
        <w:rPr>
          <w:sz w:val="26"/>
        </w:rPr>
        <w:t xml:space="preserve"> мелкими отправками осуществляются </w:t>
      </w:r>
      <w:r>
        <w:rPr>
          <w:sz w:val="26"/>
        </w:rPr>
        <w:br/>
      </w:r>
      <w:r>
        <w:rPr>
          <w:sz w:val="26"/>
        </w:rPr>
        <w:t>в соответствии с Правилами перевозок железнодорожным транспортом грузов мелкими отправками, утвержденными Приказом МПС России от 18 июня 2003 г. № 33.</w:t>
      </w:r>
      <w:r>
        <w:rPr>
          <w:sz w:val="26"/>
        </w:rPr>
        <w:t xml:space="preserve"> </w:t>
      </w:r>
      <w:r>
        <w:rPr>
          <w:sz w:val="26"/>
        </w:rPr>
        <w:t>Проектом акта актуализируется указанный порядок в связи со структурными изменениями в сфере перевозок железнодорожным транспортом.</w:t>
      </w:r>
    </w:p>
    <w:p w14:paraId="12000000">
      <w:pPr>
        <w:spacing w:line="360" w:lineRule="auto"/>
        <w:ind w:firstLine="709" w:left="0"/>
        <w:jc w:val="both"/>
        <w:rPr>
          <w:sz w:val="26"/>
        </w:rPr>
      </w:pPr>
      <w:r>
        <w:rPr>
          <w:sz w:val="26"/>
        </w:rPr>
        <w:t>Проект акта затрагивает интересы п</w:t>
      </w:r>
      <w:r>
        <w:rPr>
          <w:sz w:val="26"/>
        </w:rPr>
        <w:t>еревозчика, грузоотправителей (отправителей), грузополучателей (получателей) и операторов подвижного состава.</w:t>
      </w:r>
    </w:p>
    <w:p w14:paraId="13000000">
      <w:pPr>
        <w:spacing w:line="360" w:lineRule="auto"/>
        <w:ind w:firstLine="709" w:left="0"/>
        <w:jc w:val="both"/>
        <w:rPr>
          <w:sz w:val="26"/>
        </w:rPr>
      </w:pPr>
      <w:r>
        <w:rPr>
          <w:sz w:val="26"/>
        </w:rPr>
        <w:t>По итогам анализа положений проекта акта и сводного отчета выработаны следующие замечания и предложения</w:t>
      </w:r>
      <w:r>
        <w:rPr>
          <w:sz w:val="26"/>
        </w:rPr>
        <w:t>.</w:t>
      </w:r>
    </w:p>
    <w:p w14:paraId="14000000">
      <w:pPr>
        <w:spacing w:line="360" w:lineRule="auto"/>
        <w:ind w:firstLine="709" w:left="0"/>
        <w:jc w:val="both"/>
        <w:rPr>
          <w:sz w:val="26"/>
        </w:rPr>
      </w:pPr>
      <w:r>
        <w:rPr>
          <w:sz w:val="26"/>
        </w:rPr>
        <w:t xml:space="preserve">1. </w:t>
      </w:r>
      <w:r>
        <w:rPr>
          <w:sz w:val="26"/>
        </w:rPr>
        <w:t xml:space="preserve">Предлагаемая формулировка пункта 7 проекта акта </w:t>
      </w:r>
      <w:r>
        <w:rPr>
          <w:sz w:val="26"/>
        </w:rPr>
        <w:t xml:space="preserve">в части принятия перевозчиком грузов на хранение </w:t>
      </w:r>
      <w:r>
        <w:rPr>
          <w:sz w:val="26"/>
        </w:rPr>
        <w:t>до момента формирования партии груза, обеспечивающей загрузку вагона до полной вместимости,</w:t>
      </w:r>
      <w:r>
        <w:rPr>
          <w:rFonts w:ascii="TimesNewRomanPSMT" w:hAnsi="TimesNewRomanPSMT"/>
          <w:sz w:val="26"/>
        </w:rPr>
        <w:t xml:space="preserve"> </w:t>
      </w:r>
      <w:r>
        <w:rPr>
          <w:sz w:val="26"/>
        </w:rPr>
        <w:t xml:space="preserve">не позволяет </w:t>
      </w:r>
      <w:r>
        <w:rPr>
          <w:sz w:val="26"/>
        </w:rPr>
        <w:t>однозначно сделать вывод о том</w:t>
      </w:r>
      <w:r>
        <w:rPr>
          <w:sz w:val="26"/>
        </w:rPr>
        <w:t xml:space="preserve">, что хранение груза может производиться как перевозчиком, так и иными лицами, что способно ограничивать грузоотправителей </w:t>
      </w:r>
      <w:r>
        <w:rPr>
          <w:sz w:val="26"/>
        </w:rPr>
        <w:t>в</w:t>
      </w:r>
      <w:r>
        <w:rPr>
          <w:sz w:val="26"/>
        </w:rPr>
        <w:t xml:space="preserve"> выборе субъектов для </w:t>
      </w:r>
      <w:r>
        <w:rPr>
          <w:sz w:val="26"/>
        </w:rPr>
        <w:t xml:space="preserve">предоставления услуг </w:t>
      </w:r>
      <w:r>
        <w:rPr>
          <w:sz w:val="26"/>
        </w:rPr>
        <w:br/>
      </w:r>
      <w:r>
        <w:rPr>
          <w:sz w:val="26"/>
        </w:rPr>
        <w:t xml:space="preserve">по хранению. </w:t>
      </w:r>
      <w:r>
        <w:rPr>
          <w:sz w:val="26"/>
        </w:rPr>
        <w:t xml:space="preserve"> </w:t>
      </w:r>
    </w:p>
    <w:p w14:paraId="15000000">
      <w:pPr>
        <w:spacing w:line="360" w:lineRule="auto"/>
        <w:ind w:firstLine="709" w:left="0"/>
        <w:jc w:val="both"/>
        <w:rPr>
          <w:sz w:val="26"/>
        </w:rPr>
      </w:pPr>
      <w:r>
        <w:rPr>
          <w:sz w:val="26"/>
        </w:rPr>
        <w:t xml:space="preserve">В этой связи считаем </w:t>
      </w:r>
      <w:r>
        <w:rPr>
          <w:sz w:val="26"/>
        </w:rPr>
        <w:t>необходимым</w:t>
      </w:r>
      <w:r>
        <w:rPr>
          <w:sz w:val="26"/>
        </w:rPr>
        <w:t xml:space="preserve"> в проекте акта</w:t>
      </w:r>
      <w:r>
        <w:rPr>
          <w:sz w:val="26"/>
        </w:rPr>
        <w:t xml:space="preserve"> конкретизировать указанную норму, указав</w:t>
      </w:r>
      <w:r>
        <w:rPr>
          <w:sz w:val="26"/>
        </w:rPr>
        <w:t>, что хранение груза может осуществляться как перевозчиком, так и иными лицами.</w:t>
      </w:r>
    </w:p>
    <w:p w14:paraId="16000000">
      <w:pPr>
        <w:spacing w:line="360" w:lineRule="auto"/>
        <w:ind w:firstLine="709" w:left="0"/>
        <w:jc w:val="both"/>
        <w:rPr>
          <w:sz w:val="26"/>
        </w:rPr>
      </w:pPr>
      <w:r>
        <w:rPr>
          <w:sz w:val="26"/>
        </w:rPr>
        <w:t xml:space="preserve">2. В соответствии с </w:t>
      </w:r>
      <w:r>
        <w:rPr>
          <w:sz w:val="26"/>
        </w:rPr>
        <w:t xml:space="preserve">абзацем вторым </w:t>
      </w:r>
      <w:r>
        <w:rPr>
          <w:sz w:val="26"/>
        </w:rPr>
        <w:t>пункт</w:t>
      </w:r>
      <w:r>
        <w:rPr>
          <w:sz w:val="26"/>
        </w:rPr>
        <w:t>а</w:t>
      </w:r>
      <w:r>
        <w:rPr>
          <w:sz w:val="26"/>
        </w:rPr>
        <w:t xml:space="preserve"> </w:t>
      </w:r>
      <w:r>
        <w:rPr>
          <w:sz w:val="26"/>
        </w:rPr>
        <w:t xml:space="preserve">7 </w:t>
      </w:r>
      <w:r>
        <w:rPr>
          <w:sz w:val="26"/>
        </w:rPr>
        <w:t xml:space="preserve">проекта акта </w:t>
      </w:r>
      <w:r>
        <w:rPr>
          <w:sz w:val="26"/>
        </w:rPr>
        <w:t xml:space="preserve">до момента </w:t>
      </w:r>
      <w:r>
        <w:rPr>
          <w:sz w:val="26"/>
        </w:rPr>
        <w:t>формирования партии груза, обеспечивающей загрузку</w:t>
      </w:r>
      <w:r>
        <w:rPr>
          <w:sz w:val="26"/>
        </w:rPr>
        <w:t xml:space="preserve"> </w:t>
      </w:r>
      <w:r>
        <w:rPr>
          <w:sz w:val="26"/>
        </w:rPr>
        <w:t>вагона до полной вместимости, перевозчик пр</w:t>
      </w:r>
      <w:r>
        <w:rPr>
          <w:sz w:val="26"/>
        </w:rPr>
        <w:t xml:space="preserve">инимает такие грузы на хранение. </w:t>
      </w:r>
      <w:r>
        <w:rPr>
          <w:sz w:val="26"/>
        </w:rPr>
        <w:t>Учитывая, что при перевозках мелкими отправками груз может занимать не более половины вагона, груз</w:t>
      </w:r>
      <w:r>
        <w:rPr>
          <w:sz w:val="26"/>
        </w:rPr>
        <w:t>ы</w:t>
      </w:r>
      <w:r>
        <w:rPr>
          <w:sz w:val="26"/>
        </w:rPr>
        <w:t xml:space="preserve"> перемеща</w:t>
      </w:r>
      <w:r>
        <w:rPr>
          <w:sz w:val="26"/>
        </w:rPr>
        <w:t>ю</w:t>
      </w:r>
      <w:r>
        <w:rPr>
          <w:sz w:val="26"/>
        </w:rPr>
        <w:t xml:space="preserve">тся на хранение в любом случае. В этом случае </w:t>
      </w:r>
      <w:r>
        <w:rPr>
          <w:sz w:val="26"/>
        </w:rPr>
        <w:t>положени</w:t>
      </w:r>
      <w:r>
        <w:rPr>
          <w:sz w:val="26"/>
        </w:rPr>
        <w:t xml:space="preserve">я, предусмотренные </w:t>
      </w:r>
      <w:r>
        <w:rPr>
          <w:sz w:val="26"/>
        </w:rPr>
        <w:t xml:space="preserve">абзацем вторым </w:t>
      </w:r>
      <w:r>
        <w:rPr>
          <w:sz w:val="26"/>
        </w:rPr>
        <w:t>пункт</w:t>
      </w:r>
      <w:r>
        <w:rPr>
          <w:sz w:val="26"/>
        </w:rPr>
        <w:t>а</w:t>
      </w:r>
      <w:r>
        <w:rPr>
          <w:sz w:val="26"/>
        </w:rPr>
        <w:t xml:space="preserve"> 7 проекта акта,</w:t>
      </w:r>
      <w:r>
        <w:rPr>
          <w:sz w:val="26"/>
        </w:rPr>
        <w:t xml:space="preserve"> способн</w:t>
      </w:r>
      <w:r>
        <w:rPr>
          <w:sz w:val="26"/>
        </w:rPr>
        <w:t>ы</w:t>
      </w:r>
      <w:r>
        <w:rPr>
          <w:sz w:val="26"/>
        </w:rPr>
        <w:t xml:space="preserve"> привести к дополнительным затратам субъектов предпринимательской деятельности на хранени</w:t>
      </w:r>
      <w:r>
        <w:rPr>
          <w:sz w:val="26"/>
        </w:rPr>
        <w:t>е</w:t>
      </w:r>
      <w:r>
        <w:rPr>
          <w:sz w:val="26"/>
        </w:rPr>
        <w:t xml:space="preserve"> груза, а также </w:t>
      </w:r>
      <w:r>
        <w:rPr>
          <w:sz w:val="26"/>
        </w:rPr>
        <w:t xml:space="preserve">к </w:t>
      </w:r>
      <w:r>
        <w:rPr>
          <w:sz w:val="26"/>
        </w:rPr>
        <w:t>увеличени</w:t>
      </w:r>
      <w:r>
        <w:rPr>
          <w:sz w:val="26"/>
        </w:rPr>
        <w:t>ю</w:t>
      </w:r>
      <w:r>
        <w:rPr>
          <w:sz w:val="26"/>
        </w:rPr>
        <w:t xml:space="preserve"> сроков доставки груза. </w:t>
      </w:r>
    </w:p>
    <w:p w14:paraId="17000000">
      <w:pPr>
        <w:spacing w:line="360" w:lineRule="auto"/>
        <w:ind w:firstLine="709" w:left="0"/>
        <w:jc w:val="both"/>
        <w:rPr>
          <w:sz w:val="26"/>
        </w:rPr>
      </w:pPr>
      <w:r>
        <w:rPr>
          <w:sz w:val="26"/>
        </w:rPr>
        <w:t xml:space="preserve">Кроме того, вопросы </w:t>
      </w:r>
      <w:r>
        <w:rPr>
          <w:sz w:val="26"/>
        </w:rPr>
        <w:t xml:space="preserve">регулирования правоотношений по </w:t>
      </w:r>
      <w:r>
        <w:rPr>
          <w:sz w:val="26"/>
        </w:rPr>
        <w:t>предоставлени</w:t>
      </w:r>
      <w:r>
        <w:rPr>
          <w:sz w:val="26"/>
        </w:rPr>
        <w:t>ю</w:t>
      </w:r>
      <w:r>
        <w:rPr>
          <w:sz w:val="26"/>
        </w:rPr>
        <w:t xml:space="preserve"> и </w:t>
      </w:r>
      <w:r>
        <w:rPr>
          <w:sz w:val="26"/>
        </w:rPr>
        <w:t xml:space="preserve">наполнению </w:t>
      </w:r>
      <w:r>
        <w:rPr>
          <w:sz w:val="26"/>
        </w:rPr>
        <w:t xml:space="preserve">вагонов </w:t>
      </w:r>
      <w:r>
        <w:rPr>
          <w:sz w:val="26"/>
        </w:rPr>
        <w:t xml:space="preserve">относятся к разряду </w:t>
      </w:r>
      <w:r>
        <w:rPr>
          <w:sz w:val="26"/>
        </w:rPr>
        <w:t xml:space="preserve">договорных отношений </w:t>
      </w:r>
      <w:r>
        <w:rPr>
          <w:sz w:val="26"/>
        </w:rPr>
        <w:t xml:space="preserve">между </w:t>
      </w:r>
      <w:r>
        <w:rPr>
          <w:sz w:val="26"/>
        </w:rPr>
        <w:t>грузоотправит</w:t>
      </w:r>
      <w:r>
        <w:rPr>
          <w:sz w:val="26"/>
        </w:rPr>
        <w:t>елем</w:t>
      </w:r>
      <w:r>
        <w:rPr>
          <w:sz w:val="26"/>
        </w:rPr>
        <w:t xml:space="preserve"> </w:t>
      </w:r>
      <w:r>
        <w:rPr>
          <w:sz w:val="26"/>
        </w:rPr>
        <w:t>и</w:t>
      </w:r>
      <w:r>
        <w:rPr>
          <w:sz w:val="26"/>
        </w:rPr>
        <w:t xml:space="preserve"> оператором подвижного состава, которые </w:t>
      </w:r>
      <w:r>
        <w:rPr>
          <w:sz w:val="26"/>
        </w:rPr>
        <w:t xml:space="preserve">в том числе </w:t>
      </w:r>
      <w:r>
        <w:rPr>
          <w:sz w:val="26"/>
        </w:rPr>
        <w:t xml:space="preserve">самостоятельно </w:t>
      </w:r>
      <w:r>
        <w:rPr>
          <w:sz w:val="26"/>
        </w:rPr>
        <w:t>определя</w:t>
      </w:r>
      <w:r>
        <w:rPr>
          <w:sz w:val="26"/>
        </w:rPr>
        <w:t>ют</w:t>
      </w:r>
      <w:r>
        <w:rPr>
          <w:sz w:val="26"/>
        </w:rPr>
        <w:t xml:space="preserve"> </w:t>
      </w:r>
      <w:r>
        <w:rPr>
          <w:sz w:val="26"/>
        </w:rPr>
        <w:t>количество перевозимого в вагоне груза.</w:t>
      </w:r>
      <w:r>
        <w:rPr>
          <w:sz w:val="26"/>
        </w:rPr>
        <w:t xml:space="preserve"> В этой связи указанный вопрос не является предметом предлагаемого регулирования</w:t>
      </w:r>
      <w:r>
        <w:rPr>
          <w:sz w:val="26"/>
        </w:rPr>
        <w:t>, поскольку</w:t>
      </w:r>
      <w:r>
        <w:rPr>
          <w:sz w:val="26"/>
        </w:rPr>
        <w:t xml:space="preserve"> регулируется договорными отношениями.</w:t>
      </w:r>
    </w:p>
    <w:p w14:paraId="18000000">
      <w:pPr>
        <w:spacing w:line="360" w:lineRule="auto"/>
        <w:ind w:firstLine="709" w:left="0"/>
        <w:jc w:val="both"/>
        <w:rPr>
          <w:sz w:val="26"/>
        </w:rPr>
      </w:pPr>
      <w:r>
        <w:rPr>
          <w:sz w:val="26"/>
        </w:rPr>
        <w:t>Таким образом,</w:t>
      </w:r>
      <w:r>
        <w:rPr>
          <w:sz w:val="26"/>
        </w:rPr>
        <w:t xml:space="preserve"> представляется необходимым исключить </w:t>
      </w:r>
      <w:r>
        <w:rPr>
          <w:sz w:val="26"/>
        </w:rPr>
        <w:t xml:space="preserve">абзац второй </w:t>
      </w:r>
      <w:r>
        <w:rPr>
          <w:sz w:val="26"/>
        </w:rPr>
        <w:t>пункт</w:t>
      </w:r>
      <w:r>
        <w:rPr>
          <w:sz w:val="26"/>
        </w:rPr>
        <w:t>а</w:t>
      </w:r>
      <w:r>
        <w:rPr>
          <w:sz w:val="26"/>
        </w:rPr>
        <w:t xml:space="preserve"> 7 </w:t>
      </w:r>
      <w:r>
        <w:rPr>
          <w:sz w:val="26"/>
        </w:rPr>
        <w:br/>
      </w:r>
      <w:r>
        <w:rPr>
          <w:sz w:val="26"/>
        </w:rPr>
        <w:t>из проекта акта.</w:t>
      </w:r>
    </w:p>
    <w:p w14:paraId="19000000">
      <w:pPr>
        <w:spacing w:line="360" w:lineRule="auto"/>
        <w:ind w:firstLine="709" w:left="0"/>
        <w:jc w:val="both"/>
        <w:rPr>
          <w:sz w:val="26"/>
        </w:rPr>
      </w:pPr>
      <w:r>
        <w:rPr>
          <w:sz w:val="26"/>
        </w:rPr>
        <w:t>3. Проектом акта не раскрыт</w:t>
      </w:r>
      <w:r>
        <w:rPr>
          <w:sz w:val="26"/>
        </w:rPr>
        <w:t xml:space="preserve"> аспект</w:t>
      </w:r>
      <w:r>
        <w:rPr>
          <w:sz w:val="26"/>
        </w:rPr>
        <w:t xml:space="preserve">, каким образом </w:t>
      </w:r>
      <w:r>
        <w:rPr>
          <w:sz w:val="26"/>
        </w:rPr>
        <w:t>груз различных грузоотправителей формируется в один подвижной состав</w:t>
      </w:r>
      <w:r>
        <w:rPr>
          <w:sz w:val="26"/>
        </w:rPr>
        <w:t xml:space="preserve">, учитывая, что груз признается мелкой отправкой, то есть занимает не больше половины вагона. При этом, как указано выше, пунктом 7 </w:t>
      </w:r>
      <w:r>
        <w:rPr>
          <w:sz w:val="26"/>
        </w:rPr>
        <w:t>устанавливается</w:t>
      </w:r>
      <w:r>
        <w:rPr>
          <w:sz w:val="26"/>
        </w:rPr>
        <w:t xml:space="preserve"> требование по формированию партии груза для начала осуществления перевозки, </w:t>
      </w:r>
      <w:r>
        <w:rPr>
          <w:sz w:val="26"/>
        </w:rPr>
        <w:t>обеспечивающей загрузку вагона до полной вместимости</w:t>
      </w:r>
      <w:r>
        <w:rPr>
          <w:sz w:val="26"/>
        </w:rPr>
        <w:t xml:space="preserve">. Однако подвижной состав находится во владении операторов подвижного состава, договор на предоставление подвижного состава с оператором заключает грузоотправитель. Следовательно, различные грузоотправители могут не знать о договоренностях других грузоотправителей с операторами подвижного состава. </w:t>
      </w:r>
    </w:p>
    <w:p w14:paraId="1A000000">
      <w:pPr>
        <w:spacing w:line="360" w:lineRule="auto"/>
        <w:ind w:firstLine="709" w:left="0"/>
        <w:jc w:val="both"/>
        <w:rPr>
          <w:sz w:val="26"/>
        </w:rPr>
      </w:pPr>
      <w:r>
        <w:rPr>
          <w:sz w:val="26"/>
        </w:rPr>
        <w:t>Кроме этого,</w:t>
      </w:r>
      <w:r>
        <w:rPr>
          <w:sz w:val="26"/>
        </w:rPr>
        <w:t xml:space="preserve"> в соответствии с пунктом 18 проекта акта </w:t>
      </w:r>
      <w:r>
        <w:rPr>
          <w:sz w:val="26"/>
        </w:rPr>
        <w:t>грузоотправитель должен внести в накладную сведения о вагоне, контейнере, запорно-пломбировочных устройствах</w:t>
      </w:r>
      <w:r>
        <w:rPr>
          <w:sz w:val="26"/>
        </w:rPr>
        <w:t xml:space="preserve"> (далее – ЗПУ)</w:t>
      </w:r>
      <w:r>
        <w:rPr>
          <w:sz w:val="26"/>
        </w:rPr>
        <w:t xml:space="preserve">, наложенных на вагон или контейнер. При этом из всех грузоотправителей, перевозящих свой груз </w:t>
      </w:r>
      <w:r>
        <w:rPr>
          <w:sz w:val="26"/>
        </w:rPr>
        <w:t>мелкой отправкой</w:t>
      </w:r>
      <w:r>
        <w:rPr>
          <w:sz w:val="26"/>
        </w:rPr>
        <w:t xml:space="preserve"> в одном вагоне</w:t>
      </w:r>
      <w:r>
        <w:rPr>
          <w:sz w:val="26"/>
        </w:rPr>
        <w:t xml:space="preserve">, </w:t>
      </w:r>
      <w:r>
        <w:rPr>
          <w:sz w:val="26"/>
        </w:rPr>
        <w:t xml:space="preserve">достаточно договоренности одного грузоотправителя </w:t>
      </w:r>
      <w:r>
        <w:rPr>
          <w:sz w:val="26"/>
        </w:rPr>
        <w:t xml:space="preserve">о предоставлении подвижного состава и </w:t>
      </w:r>
      <w:r>
        <w:rPr>
          <w:sz w:val="26"/>
        </w:rPr>
        <w:t>на</w:t>
      </w:r>
      <w:r>
        <w:rPr>
          <w:sz w:val="26"/>
        </w:rPr>
        <w:t>ложения</w:t>
      </w:r>
      <w:r>
        <w:rPr>
          <w:sz w:val="26"/>
        </w:rPr>
        <w:t xml:space="preserve"> ЗПУ. </w:t>
      </w:r>
    </w:p>
    <w:p w14:paraId="1B000000">
      <w:pPr>
        <w:spacing w:line="360" w:lineRule="auto"/>
        <w:ind w:firstLine="709" w:left="0"/>
        <w:jc w:val="both"/>
        <w:rPr>
          <w:sz w:val="26"/>
        </w:rPr>
      </w:pPr>
      <w:r>
        <w:rPr>
          <w:sz w:val="26"/>
        </w:rPr>
        <w:t>Вместе с тем</w:t>
      </w:r>
      <w:r>
        <w:rPr>
          <w:sz w:val="26"/>
        </w:rPr>
        <w:t xml:space="preserve"> вопрос заполнения перевозочных документо</w:t>
      </w:r>
      <w:r>
        <w:rPr>
          <w:sz w:val="26"/>
        </w:rPr>
        <w:t>в</w:t>
      </w:r>
      <w:r>
        <w:rPr>
          <w:sz w:val="26"/>
        </w:rPr>
        <w:t xml:space="preserve"> не является предметом </w:t>
      </w:r>
      <w:r>
        <w:rPr>
          <w:sz w:val="26"/>
        </w:rPr>
        <w:t>проектируемого</w:t>
      </w:r>
      <w:r>
        <w:rPr>
          <w:sz w:val="26"/>
        </w:rPr>
        <w:t xml:space="preserve"> регулирования.</w:t>
      </w:r>
    </w:p>
    <w:p w14:paraId="1C000000">
      <w:pPr>
        <w:spacing w:line="360" w:lineRule="auto"/>
        <w:ind w:firstLine="709" w:left="0"/>
        <w:jc w:val="both"/>
        <w:rPr>
          <w:sz w:val="26"/>
        </w:rPr>
      </w:pPr>
      <w:r>
        <w:rPr>
          <w:sz w:val="26"/>
        </w:rPr>
        <w:t xml:space="preserve">На основании вышеизложенного представляется необходимым в проекте акта </w:t>
      </w:r>
      <w:r>
        <w:rPr>
          <w:sz w:val="26"/>
        </w:rPr>
        <w:t>урегулировать</w:t>
      </w:r>
      <w:r>
        <w:rPr>
          <w:sz w:val="26"/>
        </w:rPr>
        <w:t xml:space="preserve"> вопрос</w:t>
      </w:r>
      <w:r>
        <w:rPr>
          <w:sz w:val="26"/>
        </w:rPr>
        <w:t xml:space="preserve"> разграничения </w:t>
      </w:r>
      <w:r>
        <w:rPr>
          <w:sz w:val="26"/>
        </w:rPr>
        <w:t>ответственности</w:t>
      </w:r>
      <w:r>
        <w:rPr>
          <w:sz w:val="26"/>
        </w:rPr>
        <w:t xml:space="preserve"> или исключить </w:t>
      </w:r>
      <w:r>
        <w:rPr>
          <w:sz w:val="26"/>
        </w:rPr>
        <w:t>абзац второй</w:t>
      </w:r>
      <w:r>
        <w:rPr>
          <w:sz w:val="26"/>
        </w:rPr>
        <w:br/>
      </w:r>
      <w:r>
        <w:rPr>
          <w:sz w:val="26"/>
        </w:rPr>
        <w:t>пункт</w:t>
      </w:r>
      <w:r>
        <w:rPr>
          <w:sz w:val="26"/>
        </w:rPr>
        <w:t>а</w:t>
      </w:r>
      <w:r>
        <w:rPr>
          <w:sz w:val="26"/>
        </w:rPr>
        <w:t xml:space="preserve"> 7 и</w:t>
      </w:r>
      <w:r>
        <w:rPr>
          <w:sz w:val="26"/>
        </w:rPr>
        <w:t xml:space="preserve"> пункт</w:t>
      </w:r>
      <w:r>
        <w:rPr>
          <w:sz w:val="26"/>
        </w:rPr>
        <w:t xml:space="preserve"> 18 из проекта акта</w:t>
      </w:r>
      <w:r>
        <w:rPr>
          <w:sz w:val="26"/>
        </w:rPr>
        <w:t>.</w:t>
      </w:r>
    </w:p>
    <w:p w14:paraId="1D000000">
      <w:pPr>
        <w:spacing w:line="360" w:lineRule="auto"/>
        <w:ind w:firstLine="709" w:left="0"/>
        <w:jc w:val="both"/>
        <w:rPr>
          <w:sz w:val="26"/>
        </w:rPr>
      </w:pPr>
      <w:r>
        <w:rPr>
          <w:sz w:val="26"/>
        </w:rPr>
        <w:t>П</w:t>
      </w:r>
      <w:r>
        <w:rPr>
          <w:sz w:val="26"/>
        </w:rPr>
        <w:t>о результатам оценки регулирующего воздействия Минэкономразвития России может быть сделан вывод о том, что:</w:t>
      </w:r>
    </w:p>
    <w:p w14:paraId="1E000000">
      <w:pPr>
        <w:pStyle w:val="Style_2"/>
        <w:numPr>
          <w:ilvl w:val="0"/>
          <w:numId w:val="1"/>
        </w:numPr>
        <w:spacing w:line="360" w:lineRule="auto"/>
        <w:ind/>
        <w:jc w:val="both"/>
        <w:rPr>
          <w:sz w:val="26"/>
        </w:rPr>
      </w:pPr>
      <w:r>
        <w:rPr>
          <w:sz w:val="26"/>
        </w:rPr>
        <w:t>наличие проблемы и целесообразность ее решения с помощью регулирования, предусмотренного проектом акта, обоснованы;</w:t>
      </w:r>
    </w:p>
    <w:p w14:paraId="1F000000">
      <w:pPr>
        <w:pStyle w:val="Style_2"/>
        <w:numPr>
          <w:ilvl w:val="0"/>
          <w:numId w:val="1"/>
        </w:numPr>
        <w:spacing w:line="360" w:lineRule="auto"/>
        <w:ind/>
        <w:jc w:val="both"/>
        <w:rPr>
          <w:sz w:val="26"/>
        </w:rPr>
      </w:pPr>
      <w:r>
        <w:rPr>
          <w:sz w:val="26"/>
        </w:rPr>
        <w:t>в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bookmarkStart w:id="1" w:name="_GoBack"/>
      <w:bookmarkEnd w:id="1"/>
    </w:p>
    <w:sectPr>
      <w:headerReference r:id="rId1" w:type="default"/>
      <w:pgSz w:h="16838" w:w="11906"/>
      <w:pgMar w:bottom="851" w:footer="0" w:gutter="0" w:header="709"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w="http://schemas.openxmlformats.org/wordprocessingml/2006/main">
  <w:p xmlns:p1="http://schemas.microsoft.com/office/word/2010/wordml" p1:paraId="01000000">
    <w:pPr>
      <w:pStyle w:val="Style_1"/>
    </w:pP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0">
    <w:lvl w:ilvl="0">
      <w:start w:val="1"/>
      <w:numFmt w:val="bullet"/>
      <w:lvlText w:val=""/>
      <w:pPr>
        <w:ind w:firstLine="720" w:left="0"/>
      </w:pPr>
      <w:rPr>
        <w:rFonts w:ascii="Symbol" w:hAnsi="Symbol"/>
      </w:rPr>
    </w:lvl>
    <w:lvl w:ilvl="1">
      <w:start w:val="1"/>
      <w:numFmt w:val="bullet"/>
      <w:lvlText w:val="o"/>
      <w:pPr>
        <w:ind w:hanging="360" w:left="2149"/>
      </w:pPr>
      <w:rPr>
        <w:rFonts w:ascii="Courier New" w:hAnsi="Courier New"/>
      </w:rPr>
    </w:lvl>
    <w:lvl w:ilvl="2">
      <w:start w:val="1"/>
      <w:numFmt w:val="bullet"/>
      <w:lvlText w:val=""/>
      <w:pPr>
        <w:ind w:hanging="360" w:left="2869"/>
      </w:pPr>
      <w:rPr>
        <w:rFonts w:ascii="Wingdings" w:hAnsi="Wingdings"/>
      </w:rPr>
    </w:lvl>
    <w:lvl w:ilvl="3">
      <w:start w:val="1"/>
      <w:numFmt w:val="bullet"/>
      <w:lvlText w:val=""/>
      <w:pPr>
        <w:ind w:hanging="360" w:left="3589"/>
      </w:pPr>
      <w:rPr>
        <w:rFonts w:ascii="Symbol" w:hAnsi="Symbol"/>
      </w:rPr>
    </w:lvl>
    <w:lvl w:ilvl="4">
      <w:start w:val="1"/>
      <w:numFmt w:val="bullet"/>
      <w:lvlText w:val="o"/>
      <w:pPr>
        <w:ind w:hanging="360" w:left="4309"/>
      </w:pPr>
      <w:rPr>
        <w:rFonts w:ascii="Courier New" w:hAnsi="Courier New"/>
      </w:rPr>
    </w:lvl>
    <w:lvl w:ilvl="5">
      <w:start w:val="1"/>
      <w:numFmt w:val="bullet"/>
      <w:lvlText w:val=""/>
      <w:pPr>
        <w:ind w:hanging="360" w:left="5029"/>
      </w:pPr>
      <w:rPr>
        <w:rFonts w:ascii="Wingdings" w:hAnsi="Wingdings"/>
      </w:rPr>
    </w:lvl>
    <w:lvl w:ilvl="6">
      <w:start w:val="1"/>
      <w:numFmt w:val="bullet"/>
      <w:lvlText w:val=""/>
      <w:pPr>
        <w:ind w:hanging="360" w:left="5749"/>
      </w:pPr>
      <w:rPr>
        <w:rFonts w:ascii="Symbol" w:hAnsi="Symbol"/>
      </w:rPr>
    </w:lvl>
    <w:lvl w:ilvl="7">
      <w:start w:val="1"/>
      <w:numFmt w:val="bullet"/>
      <w:lvlText w:val="o"/>
      <w:pPr>
        <w:ind w:hanging="360" w:left="6469"/>
      </w:pPr>
      <w:rPr>
        <w:rFonts w:ascii="Courier New" w:hAnsi="Courier New"/>
      </w:rPr>
    </w:lvl>
    <w:lvl w:ilvl="8">
      <w:start w:val="1"/>
      <w:numFmt w:val="bullet"/>
      <w:lvlText w:val=""/>
      <w:pPr>
        <w:ind w:hanging="360" w:left="7189"/>
      </w:pPr>
      <w:rPr>
        <w:rFonts w:ascii="Wingdings" w:hAnsi="Wingdings"/>
      </w:rPr>
    </w:lvl>
  </w:abstractNum>
  <w:num w:numId="1">
    <w:abstractNumId w:val="0"/>
  </w:num>
</w:numbering>
</file>

<file path=word/settings.xml><?xml version="1.0" encoding="utf-8"?>
<w:settings xmlns:w="http://schemas.openxmlformats.org/wordprocessingml/2006/main">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ListLabel 3"/>
    <w:link w:val="Style_4_ch"/>
  </w:style>
  <w:style w:styleId="Style_4_ch" w:type="character">
    <w:name w:val="ListLabel 3"/>
    <w:link w:val="Style_4"/>
  </w:style>
  <w:style w:styleId="Style_5" w:type="paragraph">
    <w:name w:val="toc 2"/>
    <w:link w:val="Style_5_ch"/>
    <w:uiPriority w:val="39"/>
    <w:pPr>
      <w:ind w:firstLine="0" w:left="200"/>
    </w:pPr>
  </w:style>
  <w:style w:styleId="Style_5_ch" w:type="character">
    <w:name w:val="toc 2"/>
    <w:link w:val="Style_5"/>
  </w:style>
  <w:style w:styleId="Style_6" w:type="paragraph">
    <w:name w:val="List"/>
    <w:basedOn w:val="Style_7"/>
    <w:link w:val="Style_6_ch"/>
  </w:style>
  <w:style w:styleId="Style_6_ch" w:type="character">
    <w:name w:val="List"/>
    <w:basedOn w:val="Style_7_ch"/>
    <w:link w:val="Style_6"/>
  </w:style>
  <w:style w:styleId="Style_8" w:type="paragraph">
    <w:name w:val="ListLabel 42"/>
    <w:link w:val="Style_8_ch"/>
  </w:style>
  <w:style w:styleId="Style_8_ch" w:type="character">
    <w:name w:val="ListLabel 42"/>
    <w:link w:val="Style_8"/>
  </w:style>
  <w:style w:styleId="Style_9" w:type="paragraph">
    <w:name w:val="ListLabel 57"/>
    <w:link w:val="Style_9_ch"/>
  </w:style>
  <w:style w:styleId="Style_9_ch" w:type="character">
    <w:name w:val="ListLabel 57"/>
    <w:link w:val="Style_9"/>
  </w:style>
  <w:style w:styleId="Style_10" w:type="paragraph">
    <w:name w:val="ListLabel 58"/>
    <w:link w:val="Style_10_ch"/>
  </w:style>
  <w:style w:styleId="Style_10_ch" w:type="character">
    <w:name w:val="ListLabel 58"/>
    <w:link w:val="Style_10"/>
  </w:style>
  <w:style w:styleId="Style_11" w:type="paragraph">
    <w:name w:val="toc 4"/>
    <w:link w:val="Style_11_ch"/>
    <w:uiPriority w:val="39"/>
    <w:pPr>
      <w:ind w:firstLine="0" w:left="600"/>
    </w:pPr>
  </w:style>
  <w:style w:styleId="Style_11_ch" w:type="character">
    <w:name w:val="toc 4"/>
    <w:link w:val="Style_11"/>
  </w:style>
  <w:style w:styleId="Style_12" w:type="paragraph">
    <w:name w:val="page number"/>
    <w:basedOn w:val="Style_13"/>
    <w:link w:val="Style_12_ch"/>
  </w:style>
  <w:style w:styleId="Style_12_ch" w:type="character">
    <w:name w:val="page number"/>
    <w:basedOn w:val="Style_13_ch"/>
    <w:link w:val="Style_12"/>
  </w:style>
  <w:style w:styleId="Style_14" w:type="paragraph">
    <w:name w:val="toc 6"/>
    <w:link w:val="Style_14_ch"/>
    <w:uiPriority w:val="39"/>
    <w:pPr>
      <w:ind w:firstLine="0" w:left="1000"/>
    </w:pPr>
  </w:style>
  <w:style w:styleId="Style_14_ch" w:type="character">
    <w:name w:val="toc 6"/>
    <w:link w:val="Style_14"/>
  </w:style>
  <w:style w:styleId="Style_15" w:type="paragraph">
    <w:name w:val="toc 7"/>
    <w:link w:val="Style_15_ch"/>
    <w:uiPriority w:val="39"/>
    <w:pPr>
      <w:ind w:firstLine="0" w:left="1200"/>
    </w:pPr>
  </w:style>
  <w:style w:styleId="Style_15_ch" w:type="character">
    <w:name w:val="toc 7"/>
    <w:link w:val="Style_15"/>
  </w:style>
  <w:style w:styleId="Style_16" w:type="paragraph">
    <w:name w:val="Plain Text"/>
    <w:basedOn w:val="Style_3"/>
    <w:link w:val="Style_16_ch"/>
    <w:rPr>
      <w:rFonts w:ascii="Courier New" w:hAnsi="Courier New"/>
      <w:sz w:val="20"/>
    </w:rPr>
  </w:style>
  <w:style w:styleId="Style_16_ch" w:type="character">
    <w:name w:val="Plain Text"/>
    <w:basedOn w:val="Style_3_ch"/>
    <w:link w:val="Style_16"/>
    <w:rPr>
      <w:rFonts w:ascii="Courier New" w:hAnsi="Courier New"/>
      <w:sz w:val="20"/>
    </w:rPr>
  </w:style>
  <w:style w:styleId="Style_17" w:type="paragraph">
    <w:name w:val="ListLabel 44"/>
    <w:link w:val="Style_17_ch"/>
  </w:style>
  <w:style w:styleId="Style_17_ch" w:type="character">
    <w:name w:val="ListLabel 44"/>
    <w:link w:val="Style_17"/>
  </w:style>
  <w:style w:styleId="Style_18" w:type="paragraph">
    <w:name w:val="ListLabel 11"/>
    <w:link w:val="Style_18_ch"/>
  </w:style>
  <w:style w:styleId="Style_18_ch" w:type="character">
    <w:name w:val="ListLabel 11"/>
    <w:link w:val="Style_18"/>
  </w:style>
  <w:style w:styleId="Style_19" w:type="paragraph">
    <w:name w:val="ListLabel 60"/>
    <w:link w:val="Style_19_ch"/>
  </w:style>
  <w:style w:styleId="Style_19_ch" w:type="character">
    <w:name w:val="ListLabel 60"/>
    <w:link w:val="Style_19"/>
  </w:style>
  <w:style w:styleId="Style_20" w:type="paragraph">
    <w:name w:val="ListLabel 25"/>
    <w:link w:val="Style_20_ch"/>
  </w:style>
  <w:style w:styleId="Style_20_ch" w:type="character">
    <w:name w:val="ListLabel 25"/>
    <w:link w:val="Style_20"/>
  </w:style>
  <w:style w:styleId="Style_21" w:type="paragraph">
    <w:name w:val="Footnote Characters"/>
    <w:link w:val="Style_21_ch"/>
    <w:rPr>
      <w:vertAlign w:val="superscript"/>
    </w:rPr>
  </w:style>
  <w:style w:styleId="Style_21_ch" w:type="character">
    <w:name w:val="Footnote Characters"/>
    <w:link w:val="Style_21"/>
    <w:rPr>
      <w:vertAlign w:val="superscript"/>
    </w:rPr>
  </w:style>
  <w:style w:styleId="Style_22" w:type="paragraph">
    <w:name w:val="ListLabel 59"/>
    <w:link w:val="Style_22_ch"/>
  </w:style>
  <w:style w:styleId="Style_22_ch" w:type="character">
    <w:name w:val="ListLabel 59"/>
    <w:link w:val="Style_22"/>
  </w:style>
  <w:style w:styleId="Style_23" w:type="paragraph">
    <w:name w:val="heading 3"/>
    <w:link w:val="Style_23_ch"/>
    <w:uiPriority w:val="9"/>
    <w:qFormat/>
    <w:pPr>
      <w:ind/>
      <w:outlineLvl w:val="2"/>
    </w:pPr>
    <w:rPr>
      <w:rFonts w:ascii="XO Thames" w:hAnsi="XO Thames"/>
      <w:b w:val="1"/>
      <w:i w:val="1"/>
      <w:color w:val="000000"/>
    </w:rPr>
  </w:style>
  <w:style w:styleId="Style_23_ch" w:type="character">
    <w:name w:val="heading 3"/>
    <w:link w:val="Style_23"/>
    <w:rPr>
      <w:rFonts w:ascii="XO Thames" w:hAnsi="XO Thames"/>
      <w:b w:val="1"/>
      <w:i w:val="1"/>
      <w:color w:val="000000"/>
    </w:rPr>
  </w:style>
  <w:style w:styleId="Style_24" w:type="paragraph">
    <w:name w:val="ListLabel 50"/>
    <w:link w:val="Style_24_ch"/>
  </w:style>
  <w:style w:styleId="Style_24_ch" w:type="character">
    <w:name w:val="ListLabel 50"/>
    <w:link w:val="Style_24"/>
  </w:style>
  <w:style w:styleId="Style_25" w:type="paragraph">
    <w:name w:val="ListLabel 22"/>
    <w:link w:val="Style_25_ch"/>
  </w:style>
  <w:style w:styleId="Style_25_ch" w:type="character">
    <w:name w:val="ListLabel 22"/>
    <w:link w:val="Style_25"/>
  </w:style>
  <w:style w:styleId="Style_26" w:type="paragraph">
    <w:name w:val="ListLabel 54"/>
    <w:link w:val="Style_26_ch"/>
  </w:style>
  <w:style w:styleId="Style_26_ch" w:type="character">
    <w:name w:val="ListLabel 54"/>
    <w:link w:val="Style_26"/>
  </w:style>
  <w:style w:styleId="Style_27" w:type="paragraph">
    <w:name w:val="ListLabel 27"/>
    <w:link w:val="Style_27_ch"/>
  </w:style>
  <w:style w:styleId="Style_27_ch" w:type="character">
    <w:name w:val="ListLabel 27"/>
    <w:link w:val="Style_27"/>
  </w:style>
  <w:style w:styleId="Style_28" w:type="paragraph">
    <w:name w:val="ListLabel 8"/>
    <w:link w:val="Style_28_ch"/>
  </w:style>
  <w:style w:styleId="Style_28_ch" w:type="character">
    <w:name w:val="ListLabel 8"/>
    <w:link w:val="Style_28"/>
  </w:style>
  <w:style w:styleId="Style_29" w:type="paragraph">
    <w:name w:val="ConsPlusNormal"/>
    <w:link w:val="Style_29_ch"/>
    <w:rPr>
      <w:sz w:val="26"/>
    </w:rPr>
  </w:style>
  <w:style w:styleId="Style_29_ch" w:type="character">
    <w:name w:val="ConsPlusNormal"/>
    <w:link w:val="Style_29"/>
    <w:rPr>
      <w:sz w:val="26"/>
    </w:rPr>
  </w:style>
  <w:style w:styleId="Style_30" w:type="paragraph">
    <w:name w:val="ListLabel 30"/>
    <w:link w:val="Style_30_ch"/>
  </w:style>
  <w:style w:styleId="Style_30_ch" w:type="character">
    <w:name w:val="ListLabel 30"/>
    <w:link w:val="Style_30"/>
  </w:style>
  <w:style w:styleId="Style_13" w:type="paragraph">
    <w:name w:val="Default Paragraph Font"/>
    <w:link w:val="Style_13_ch"/>
  </w:style>
  <w:style w:styleId="Style_13_ch" w:type="character">
    <w:name w:val="Default Paragraph Font"/>
    <w:link w:val="Style_13"/>
  </w:style>
  <w:style w:styleId="Style_31" w:type="paragraph">
    <w:name w:val="ListLabel 49"/>
    <w:link w:val="Style_31_ch"/>
  </w:style>
  <w:style w:styleId="Style_31_ch" w:type="character">
    <w:name w:val="ListLabel 49"/>
    <w:link w:val="Style_31"/>
  </w:style>
  <w:style w:styleId="Style_32" w:type="paragraph">
    <w:name w:val="caption"/>
    <w:basedOn w:val="Style_3"/>
    <w:link w:val="Style_32_ch"/>
    <w:pPr>
      <w:spacing w:after="120" w:before="120"/>
      <w:ind/>
    </w:pPr>
    <w:rPr>
      <w:i w:val="1"/>
    </w:rPr>
  </w:style>
  <w:style w:styleId="Style_32_ch" w:type="character">
    <w:name w:val="caption"/>
    <w:basedOn w:val="Style_3_ch"/>
    <w:link w:val="Style_32"/>
    <w:rPr>
      <w:i w:val="1"/>
    </w:rPr>
  </w:style>
  <w:style w:styleId="Style_33" w:type="paragraph">
    <w:name w:val="ListLabel 9"/>
    <w:link w:val="Style_33_ch"/>
  </w:style>
  <w:style w:styleId="Style_33_ch" w:type="character">
    <w:name w:val="ListLabel 9"/>
    <w:link w:val="Style_33"/>
  </w:style>
  <w:style w:styleId="Style_34" w:type="paragraph">
    <w:name w:val="ListLabel 51"/>
    <w:link w:val="Style_34_ch"/>
  </w:style>
  <w:style w:styleId="Style_34_ch" w:type="character">
    <w:name w:val="ListLabel 51"/>
    <w:link w:val="Style_34"/>
  </w:style>
  <w:style w:styleId="Style_35" w:type="paragraph">
    <w:name w:val="ListLabel 35"/>
    <w:link w:val="Style_35_ch"/>
    <w:rPr>
      <w:b w:val="0"/>
      <w:i w:val="0"/>
      <w:caps w:val="0"/>
      <w:smallCaps w:val="0"/>
      <w:strike w:val="0"/>
      <w:color w:val="000000"/>
      <w:spacing w:val="0"/>
      <w:sz w:val="28"/>
      <w:u w:val="none"/>
    </w:rPr>
  </w:style>
  <w:style w:styleId="Style_35_ch" w:type="character">
    <w:name w:val="ListLabel 35"/>
    <w:link w:val="Style_35"/>
    <w:rPr>
      <w:b w:val="0"/>
      <w:i w:val="0"/>
      <w:caps w:val="0"/>
      <w:smallCaps w:val="0"/>
      <w:strike w:val="0"/>
      <w:color w:val="000000"/>
      <w:spacing w:val="0"/>
      <w:sz w:val="28"/>
      <w:u w:val="none"/>
    </w:rPr>
  </w:style>
  <w:style w:styleId="Style_36" w:type="paragraph">
    <w:name w:val="ListLabel 14"/>
    <w:link w:val="Style_36_ch"/>
  </w:style>
  <w:style w:styleId="Style_36_ch" w:type="character">
    <w:name w:val="ListLabel 14"/>
    <w:link w:val="Style_36"/>
  </w:style>
  <w:style w:styleId="Style_37" w:type="paragraph">
    <w:name w:val="ListLabel 15"/>
    <w:link w:val="Style_37_ch"/>
  </w:style>
  <w:style w:styleId="Style_37_ch" w:type="character">
    <w:name w:val="ListLabel 15"/>
    <w:link w:val="Style_37"/>
  </w:style>
  <w:style w:styleId="Style_38" w:type="paragraph">
    <w:name w:val="ListLabel 36"/>
    <w:link w:val="Style_38_ch"/>
  </w:style>
  <w:style w:styleId="Style_38_ch" w:type="character">
    <w:name w:val="ListLabel 36"/>
    <w:link w:val="Style_38"/>
  </w:style>
  <w:style w:styleId="Style_39" w:type="paragraph">
    <w:name w:val="ListLabel 39"/>
    <w:link w:val="Style_39_ch"/>
  </w:style>
  <w:style w:styleId="Style_39_ch" w:type="character">
    <w:name w:val="ListLabel 39"/>
    <w:link w:val="Style_39"/>
  </w:style>
  <w:style w:styleId="Style_40" w:type="paragraph">
    <w:name w:val="ListLabel 31"/>
    <w:link w:val="Style_40_ch"/>
  </w:style>
  <w:style w:styleId="Style_40_ch" w:type="character">
    <w:name w:val="ListLabel 31"/>
    <w:link w:val="Style_40"/>
  </w:style>
  <w:style w:styleId="Style_41" w:type="paragraph">
    <w:name w:val="toc 3"/>
    <w:link w:val="Style_41_ch"/>
    <w:uiPriority w:val="39"/>
    <w:pPr>
      <w:ind w:firstLine="0" w:left="400"/>
    </w:pPr>
  </w:style>
  <w:style w:styleId="Style_41_ch" w:type="character">
    <w:name w:val="toc 3"/>
    <w:link w:val="Style_41"/>
  </w:style>
  <w:style w:styleId="Style_42" w:type="paragraph">
    <w:name w:val="ListLabel 5"/>
    <w:link w:val="Style_42_ch"/>
  </w:style>
  <w:style w:styleId="Style_42_ch" w:type="character">
    <w:name w:val="ListLabel 5"/>
    <w:link w:val="Style_42"/>
  </w:style>
  <w:style w:styleId="Style_43" w:type="paragraph">
    <w:name w:val="ListLabel 48"/>
    <w:link w:val="Style_43_ch"/>
  </w:style>
  <w:style w:styleId="Style_43_ch" w:type="character">
    <w:name w:val="ListLabel 48"/>
    <w:link w:val="Style_43"/>
  </w:style>
  <w:style w:styleId="Style_44" w:type="paragraph">
    <w:name w:val="ListLabel 53"/>
    <w:link w:val="Style_44_ch"/>
  </w:style>
  <w:style w:styleId="Style_44_ch" w:type="character">
    <w:name w:val="ListLabel 53"/>
    <w:link w:val="Style_44"/>
  </w:style>
  <w:style w:styleId="Style_45" w:type="paragraph">
    <w:name w:val="ListLabel 61"/>
    <w:link w:val="Style_45_ch"/>
  </w:style>
  <w:style w:styleId="Style_45_ch" w:type="character">
    <w:name w:val="ListLabel 61"/>
    <w:link w:val="Style_45"/>
  </w:style>
  <w:style w:styleId="Style_46" w:type="paragraph">
    <w:name w:val="ListLabel 12"/>
    <w:link w:val="Style_46_ch"/>
  </w:style>
  <w:style w:styleId="Style_46_ch" w:type="character">
    <w:name w:val="ListLabel 12"/>
    <w:link w:val="Style_46"/>
  </w:style>
  <w:style w:styleId="Style_47" w:type="paragraph">
    <w:name w:val="ListLabel 38"/>
    <w:link w:val="Style_47_ch"/>
  </w:style>
  <w:style w:styleId="Style_47_ch" w:type="character">
    <w:name w:val="ListLabel 38"/>
    <w:link w:val="Style_47"/>
  </w:style>
  <w:style w:styleId="Style_48" w:type="paragraph">
    <w:name w:val="Знак Знак Знак Знак"/>
    <w:basedOn w:val="Style_3"/>
    <w:link w:val="Style_48_ch"/>
    <w:rPr>
      <w:rFonts w:ascii="Verdana" w:hAnsi="Verdana"/>
      <w:sz w:val="20"/>
    </w:rPr>
  </w:style>
  <w:style w:styleId="Style_48_ch" w:type="character">
    <w:name w:val="Знак Знак Знак Знак"/>
    <w:basedOn w:val="Style_3_ch"/>
    <w:link w:val="Style_48"/>
    <w:rPr>
      <w:rFonts w:ascii="Verdana" w:hAnsi="Verdana"/>
      <w:sz w:val="20"/>
    </w:rPr>
  </w:style>
  <w:style w:styleId="Style_49" w:type="paragraph">
    <w:name w:val="Интернет-ссылка"/>
    <w:link w:val="Style_49_ch"/>
    <w:rPr>
      <w:color w:val="0000FF"/>
      <w:u w:val="single"/>
    </w:rPr>
  </w:style>
  <w:style w:styleId="Style_49_ch" w:type="character">
    <w:name w:val="Интернет-ссылка"/>
    <w:link w:val="Style_49"/>
    <w:rPr>
      <w:color w:val="0000FF"/>
      <w:u w:val="single"/>
    </w:rPr>
  </w:style>
  <w:style w:styleId="Style_50" w:type="paragraph">
    <w:name w:val="Текст Знак"/>
    <w:link w:val="Style_50_ch"/>
    <w:rPr>
      <w:rFonts w:ascii="Courier New" w:hAnsi="Courier New"/>
    </w:rPr>
  </w:style>
  <w:style w:styleId="Style_50_ch" w:type="character">
    <w:name w:val="Текст Знак"/>
    <w:link w:val="Style_50"/>
    <w:rPr>
      <w:rFonts w:ascii="Courier New" w:hAnsi="Courier New"/>
    </w:rPr>
  </w:style>
  <w:style w:styleId="Style_51" w:type="paragraph">
    <w:name w:val="ListLabel 33"/>
    <w:link w:val="Style_51_ch"/>
  </w:style>
  <w:style w:styleId="Style_51_ch" w:type="character">
    <w:name w:val="ListLabel 33"/>
    <w:link w:val="Style_51"/>
  </w:style>
  <w:style w:styleId="Style_52" w:type="paragraph">
    <w:name w:val="heading 5"/>
    <w:link w:val="Style_52_ch"/>
    <w:uiPriority w:val="9"/>
    <w:qFormat/>
    <w:pPr>
      <w:spacing w:after="120" w:before="120"/>
      <w:ind/>
      <w:outlineLvl w:val="4"/>
    </w:pPr>
    <w:rPr>
      <w:rFonts w:ascii="XO Thames" w:hAnsi="XO Thames"/>
      <w:b w:val="1"/>
      <w:color w:val="000000"/>
      <w:sz w:val="22"/>
    </w:rPr>
  </w:style>
  <w:style w:styleId="Style_52_ch" w:type="character">
    <w:name w:val="heading 5"/>
    <w:link w:val="Style_52"/>
    <w:rPr>
      <w:rFonts w:ascii="XO Thames" w:hAnsi="XO Thames"/>
      <w:b w:val="1"/>
      <w:color w:val="000000"/>
      <w:sz w:val="22"/>
    </w:rPr>
  </w:style>
  <w:style w:styleId="Style_53" w:type="paragraph">
    <w:name w:val="Содержимое врезки"/>
    <w:basedOn w:val="Style_3"/>
    <w:link w:val="Style_53_ch"/>
  </w:style>
  <w:style w:styleId="Style_53_ch" w:type="character">
    <w:name w:val="Содержимое врезки"/>
    <w:basedOn w:val="Style_3_ch"/>
    <w:link w:val="Style_53"/>
  </w:style>
  <w:style w:styleId="Style_54" w:type="paragraph">
    <w:name w:val="ListLabel 40"/>
    <w:link w:val="Style_54_ch"/>
  </w:style>
  <w:style w:styleId="Style_54_ch" w:type="character">
    <w:name w:val="ListLabel 40"/>
    <w:link w:val="Style_54"/>
  </w:style>
  <w:style w:styleId="Style_55" w:type="paragraph">
    <w:name w:val="ListLabel 1"/>
    <w:link w:val="Style_55_ch"/>
  </w:style>
  <w:style w:styleId="Style_55_ch" w:type="character">
    <w:name w:val="ListLabel 1"/>
    <w:link w:val="Style_55"/>
  </w:style>
  <w:style w:styleId="Style_56" w:type="paragraph">
    <w:name w:val="ListLabel 19"/>
    <w:link w:val="Style_56_ch"/>
  </w:style>
  <w:style w:styleId="Style_56_ch" w:type="character">
    <w:name w:val="ListLabel 19"/>
    <w:link w:val="Style_56"/>
  </w:style>
  <w:style w:styleId="Style_57" w:type="paragraph">
    <w:name w:val="ListLabel 20"/>
    <w:link w:val="Style_57_ch"/>
  </w:style>
  <w:style w:styleId="Style_57_ch" w:type="character">
    <w:name w:val="ListLabel 20"/>
    <w:link w:val="Style_57"/>
  </w:style>
  <w:style w:styleId="Style_58" w:type="paragraph">
    <w:name w:val="heading 1"/>
    <w:basedOn w:val="Style_3"/>
    <w:link w:val="Style_58_ch"/>
    <w:uiPriority w:val="9"/>
    <w:qFormat/>
    <w:pPr>
      <w:widowControl w:val="0"/>
      <w:spacing w:after="108" w:before="108"/>
      <w:ind/>
      <w:jc w:val="center"/>
      <w:outlineLvl w:val="0"/>
    </w:pPr>
    <w:rPr>
      <w:rFonts w:ascii="Arial" w:hAnsi="Arial"/>
      <w:b w:val="1"/>
      <w:color w:val="000080"/>
      <w:sz w:val="20"/>
    </w:rPr>
  </w:style>
  <w:style w:styleId="Style_58_ch" w:type="character">
    <w:name w:val="heading 1"/>
    <w:basedOn w:val="Style_3_ch"/>
    <w:link w:val="Style_58"/>
    <w:rPr>
      <w:rFonts w:ascii="Arial" w:hAnsi="Arial"/>
      <w:b w:val="1"/>
      <w:color w:val="000080"/>
      <w:sz w:val="20"/>
    </w:rPr>
  </w:style>
  <w:style w:styleId="Style_59" w:type="paragraph">
    <w:name w:val="ListLabel 37"/>
    <w:link w:val="Style_59_ch"/>
  </w:style>
  <w:style w:styleId="Style_59_ch" w:type="character">
    <w:name w:val="ListLabel 37"/>
    <w:link w:val="Style_59"/>
  </w:style>
  <w:style w:styleId="Style_60" w:type="paragraph">
    <w:name w:val="ListLabel 56"/>
    <w:link w:val="Style_60_ch"/>
  </w:style>
  <w:style w:styleId="Style_60_ch" w:type="character">
    <w:name w:val="ListLabel 56"/>
    <w:link w:val="Style_60"/>
  </w:style>
  <w:style w:styleId="Style_61" w:type="paragraph">
    <w:name w:val="ListLabel 4"/>
    <w:link w:val="Style_61_ch"/>
  </w:style>
  <w:style w:styleId="Style_61_ch" w:type="character">
    <w:name w:val="ListLabel 4"/>
    <w:link w:val="Style_61"/>
  </w:style>
  <w:style w:styleId="Style_62" w:type="paragraph">
    <w:name w:val="ConsPlusCell"/>
    <w:link w:val="Style_62_ch"/>
    <w:rPr>
      <w:sz w:val="26"/>
    </w:rPr>
  </w:style>
  <w:style w:styleId="Style_62_ch" w:type="character">
    <w:name w:val="ConsPlusCell"/>
    <w:link w:val="Style_62"/>
    <w:rPr>
      <w:sz w:val="26"/>
    </w:rPr>
  </w:style>
  <w:style w:styleId="Style_63" w:type="paragraph">
    <w:name w:val="ListLabel 32"/>
    <w:link w:val="Style_63_ch"/>
  </w:style>
  <w:style w:styleId="Style_63_ch" w:type="character">
    <w:name w:val="ListLabel 32"/>
    <w:link w:val="Style_63"/>
  </w:style>
  <w:style w:styleId="Style_64" w:type="paragraph">
    <w:name w:val="Hyperlink"/>
    <w:link w:val="Style_64_ch"/>
    <w:rPr>
      <w:color w:val="0000FF"/>
      <w:u w:val="single"/>
    </w:rPr>
  </w:style>
  <w:style w:styleId="Style_64_ch" w:type="character">
    <w:name w:val="Hyperlink"/>
    <w:link w:val="Style_64"/>
    <w:rPr>
      <w:color w:val="0000FF"/>
      <w:u w:val="single"/>
    </w:rPr>
  </w:style>
  <w:style w:styleId="Style_65" w:type="paragraph">
    <w:name w:val="Footnote"/>
    <w:basedOn w:val="Style_3"/>
    <w:link w:val="Style_65_ch"/>
    <w:rPr>
      <w:sz w:val="20"/>
    </w:rPr>
  </w:style>
  <w:style w:styleId="Style_65_ch" w:type="character">
    <w:name w:val="Footnote"/>
    <w:basedOn w:val="Style_3_ch"/>
    <w:link w:val="Style_65"/>
    <w:rPr>
      <w:sz w:val="20"/>
    </w:rPr>
  </w:style>
  <w:style w:styleId="Style_66" w:type="paragraph">
    <w:name w:val="Привязка сноски"/>
    <w:link w:val="Style_66_ch"/>
    <w:rPr>
      <w:vertAlign w:val="superscript"/>
    </w:rPr>
  </w:style>
  <w:style w:styleId="Style_66_ch" w:type="character">
    <w:name w:val="Привязка сноски"/>
    <w:link w:val="Style_66"/>
    <w:rPr>
      <w:vertAlign w:val="superscript"/>
    </w:rPr>
  </w:style>
  <w:style w:styleId="Style_67" w:type="paragraph">
    <w:name w:val="toc 1"/>
    <w:link w:val="Style_67_ch"/>
    <w:uiPriority w:val="39"/>
    <w:pPr>
      <w:ind w:firstLine="0" w:left="0"/>
    </w:pPr>
    <w:rPr>
      <w:rFonts w:ascii="XO Thames" w:hAnsi="XO Thames"/>
      <w:b w:val="1"/>
    </w:rPr>
  </w:style>
  <w:style w:styleId="Style_67_ch" w:type="character">
    <w:name w:val="toc 1"/>
    <w:link w:val="Style_67"/>
    <w:rPr>
      <w:rFonts w:ascii="XO Thames" w:hAnsi="XO Thames"/>
      <w:b w:val="1"/>
    </w:rPr>
  </w:style>
  <w:style w:styleId="Style_68" w:type="paragraph">
    <w:name w:val="Знак Знак2 Char Char Знак Знак Char Char Знак Знак Char Char Знак Знак Char Char Знак Знак Char Char Знак Знак Char Char Знак Знак Char Char Знак Знак Char Char"/>
    <w:basedOn w:val="Style_3"/>
    <w:link w:val="Style_68_ch"/>
    <w:pPr>
      <w:spacing w:afterAutospacing="on" w:beforeAutospacing="on"/>
      <w:ind/>
    </w:pPr>
    <w:rPr>
      <w:rFonts w:ascii="Tahoma" w:hAnsi="Tahoma"/>
      <w:sz w:val="20"/>
    </w:rPr>
  </w:style>
  <w:style w:styleId="Style_68_ch" w:type="character">
    <w:name w:val="Знак Знак2 Char Char Знак Знак Char Char Знак Знак Char Char Знак Знак Char Char Знак Знак Char Char Знак Знак Char Char Знак Знак Char Char Знак Знак Char Char"/>
    <w:basedOn w:val="Style_3_ch"/>
    <w:link w:val="Style_68"/>
    <w:rPr>
      <w:rFonts w:ascii="Tahoma" w:hAnsi="Tahoma"/>
      <w:sz w:val="20"/>
    </w:rPr>
  </w:style>
  <w:style w:styleId="Style_69" w:type="paragraph">
    <w:name w:val="ListLabel 10"/>
    <w:link w:val="Style_69_ch"/>
  </w:style>
  <w:style w:styleId="Style_69_ch" w:type="character">
    <w:name w:val="ListLabel 10"/>
    <w:link w:val="Style_69"/>
  </w:style>
  <w:style w:styleId="Style_70" w:type="paragraph">
    <w:name w:val="Header and Footer"/>
    <w:link w:val="Style_70_ch"/>
    <w:pPr>
      <w:spacing w:line="360" w:lineRule="auto"/>
      <w:ind/>
    </w:pPr>
    <w:rPr>
      <w:rFonts w:ascii="XO Thames" w:hAnsi="XO Thames"/>
      <w:sz w:val="20"/>
    </w:rPr>
  </w:style>
  <w:style w:styleId="Style_70_ch" w:type="character">
    <w:name w:val="Header and Footer"/>
    <w:link w:val="Style_70"/>
    <w:rPr>
      <w:rFonts w:ascii="XO Thames" w:hAnsi="XO Thames"/>
      <w:sz w:val="20"/>
    </w:rPr>
  </w:style>
  <w:style w:styleId="Style_71" w:type="paragraph">
    <w:name w:val="ListLabel 7"/>
    <w:link w:val="Style_71_ch"/>
  </w:style>
  <w:style w:styleId="Style_71_ch" w:type="character">
    <w:name w:val="ListLabel 7"/>
    <w:link w:val="Style_71"/>
  </w:style>
  <w:style w:styleId="Style_72" w:type="paragraph">
    <w:name w:val="ListLabel 18"/>
    <w:link w:val="Style_72_ch"/>
  </w:style>
  <w:style w:styleId="Style_72_ch" w:type="character">
    <w:name w:val="ListLabel 18"/>
    <w:link w:val="Style_72"/>
  </w:style>
  <w:style w:styleId="Style_7" w:type="paragraph">
    <w:name w:val="Body Text"/>
    <w:basedOn w:val="Style_3"/>
    <w:link w:val="Style_7_ch"/>
    <w:pPr>
      <w:spacing w:before="120"/>
      <w:ind/>
      <w:jc w:val="center"/>
    </w:pPr>
    <w:rPr>
      <w:sz w:val="28"/>
    </w:rPr>
  </w:style>
  <w:style w:styleId="Style_7_ch" w:type="character">
    <w:name w:val="Body Text"/>
    <w:basedOn w:val="Style_3_ch"/>
    <w:link w:val="Style_7"/>
    <w:rPr>
      <w:sz w:val="28"/>
    </w:rPr>
  </w:style>
  <w:style w:styleId="Style_73" w:type="paragraph">
    <w:name w:val="ListLabel 34"/>
    <w:link w:val="Style_73_ch"/>
  </w:style>
  <w:style w:styleId="Style_73_ch" w:type="character">
    <w:name w:val="ListLabel 34"/>
    <w:link w:val="Style_73"/>
  </w:style>
  <w:style w:styleId="Style_74" w:type="paragraph">
    <w:name w:val="ListLabel 6"/>
    <w:link w:val="Style_74_ch"/>
  </w:style>
  <w:style w:styleId="Style_74_ch" w:type="character">
    <w:name w:val="ListLabel 6"/>
    <w:link w:val="Style_74"/>
  </w:style>
  <w:style w:styleId="Style_75" w:type="paragraph">
    <w:name w:val="toc 9"/>
    <w:link w:val="Style_75_ch"/>
    <w:uiPriority w:val="39"/>
    <w:pPr>
      <w:ind w:firstLine="0" w:left="1600"/>
    </w:pPr>
  </w:style>
  <w:style w:styleId="Style_75_ch" w:type="character">
    <w:name w:val="toc 9"/>
    <w:link w:val="Style_75"/>
  </w:style>
  <w:style w:styleId="Style_76" w:type="paragraph">
    <w:name w:val="ListLabel 28"/>
    <w:link w:val="Style_76_ch"/>
  </w:style>
  <w:style w:styleId="Style_76_ch" w:type="character">
    <w:name w:val="ListLabel 28"/>
    <w:link w:val="Style_76"/>
  </w:style>
  <w:style w:styleId="Style_77" w:type="paragraph">
    <w:name w:val="ListLabel 2"/>
    <w:link w:val="Style_77_ch"/>
  </w:style>
  <w:style w:styleId="Style_77_ch" w:type="character">
    <w:name w:val="ListLabel 2"/>
    <w:link w:val="Style_77"/>
  </w:style>
  <w:style w:styleId="Style_78" w:type="paragraph">
    <w:name w:val="Balloon Text"/>
    <w:basedOn w:val="Style_3"/>
    <w:link w:val="Style_78_ch"/>
    <w:rPr>
      <w:rFonts w:ascii="Tahoma" w:hAnsi="Tahoma"/>
      <w:sz w:val="16"/>
    </w:rPr>
  </w:style>
  <w:style w:styleId="Style_78_ch" w:type="character">
    <w:name w:val="Balloon Text"/>
    <w:basedOn w:val="Style_3_ch"/>
    <w:link w:val="Style_78"/>
    <w:rPr>
      <w:rFonts w:ascii="Tahoma" w:hAnsi="Tahoma"/>
      <w:sz w:val="16"/>
    </w:rPr>
  </w:style>
  <w:style w:styleId="Style_79" w:type="paragraph">
    <w:name w:val="ListLabel 29"/>
    <w:link w:val="Style_79_ch"/>
  </w:style>
  <w:style w:styleId="Style_79_ch" w:type="character">
    <w:name w:val="ListLabel 29"/>
    <w:link w:val="Style_79"/>
  </w:style>
  <w:style w:styleId="Style_80" w:type="paragraph">
    <w:name w:val="Абзац списка1"/>
    <w:basedOn w:val="Style_3"/>
    <w:link w:val="Style_80_ch"/>
    <w:pPr>
      <w:spacing w:after="200" w:line="276" w:lineRule="auto"/>
      <w:ind w:firstLine="0" w:left="720"/>
    </w:pPr>
    <w:rPr>
      <w:rFonts w:ascii="Calibri" w:hAnsi="Calibri"/>
      <w:sz w:val="22"/>
    </w:rPr>
  </w:style>
  <w:style w:styleId="Style_80_ch" w:type="character">
    <w:name w:val="Абзац списка1"/>
    <w:basedOn w:val="Style_3_ch"/>
    <w:link w:val="Style_80"/>
    <w:rPr>
      <w:rFonts w:ascii="Calibri" w:hAnsi="Calibri"/>
      <w:sz w:val="22"/>
    </w:rPr>
  </w:style>
  <w:style w:styleId="Style_81" w:type="paragraph">
    <w:name w:val="ListLabel 43"/>
    <w:link w:val="Style_81_ch"/>
  </w:style>
  <w:style w:styleId="Style_81_ch" w:type="character">
    <w:name w:val="ListLabel 43"/>
    <w:link w:val="Style_81"/>
  </w:style>
  <w:style w:styleId="Style_82" w:type="paragraph">
    <w:name w:val="toc 8"/>
    <w:link w:val="Style_82_ch"/>
    <w:uiPriority w:val="39"/>
    <w:pPr>
      <w:ind w:firstLine="0" w:left="1400"/>
    </w:pPr>
  </w:style>
  <w:style w:styleId="Style_82_ch" w:type="character">
    <w:name w:val="toc 8"/>
    <w:link w:val="Style_82"/>
  </w:style>
  <w:style w:styleId="Style_83" w:type="paragraph">
    <w:name w:val="Normal (Web)"/>
    <w:basedOn w:val="Style_3"/>
    <w:link w:val="Style_83_ch"/>
    <w:pPr>
      <w:spacing w:after="240" w:beforeAutospacing="on"/>
      <w:ind/>
    </w:pPr>
  </w:style>
  <w:style w:styleId="Style_83_ch" w:type="character">
    <w:name w:val="Normal (Web)"/>
    <w:basedOn w:val="Style_3_ch"/>
    <w:link w:val="Style_83"/>
  </w:style>
  <w:style w:styleId="Style_84" w:type="paragraph">
    <w:name w:val="Знак Знак Знак Знак1"/>
    <w:basedOn w:val="Style_3"/>
    <w:link w:val="Style_84_ch"/>
    <w:rPr>
      <w:rFonts w:ascii="Verdana" w:hAnsi="Verdana"/>
      <w:sz w:val="20"/>
    </w:rPr>
  </w:style>
  <w:style w:styleId="Style_84_ch" w:type="character">
    <w:name w:val="Знак Знак Знак Знак1"/>
    <w:basedOn w:val="Style_3_ch"/>
    <w:link w:val="Style_84"/>
    <w:rPr>
      <w:rFonts w:ascii="Verdana" w:hAnsi="Verdana"/>
      <w:sz w:val="20"/>
    </w:rPr>
  </w:style>
  <w:style w:styleId="Style_85" w:type="paragraph">
    <w:name w:val="ListLabel 52"/>
    <w:link w:val="Style_85_ch"/>
  </w:style>
  <w:style w:styleId="Style_85_ch" w:type="character">
    <w:name w:val="ListLabel 52"/>
    <w:link w:val="Style_85"/>
  </w:style>
  <w:style w:styleId="Style_86" w:type="paragraph">
    <w:name w:val="toc 5"/>
    <w:link w:val="Style_86_ch"/>
    <w:uiPriority w:val="39"/>
    <w:pPr>
      <w:ind w:firstLine="0" w:left="800"/>
    </w:pPr>
  </w:style>
  <w:style w:styleId="Style_86_ch" w:type="character">
    <w:name w:val="toc 5"/>
    <w:link w:val="Style_86"/>
  </w:style>
  <w:style w:styleId="Style_87" w:type="paragraph">
    <w:name w:val="ListLabel 16"/>
    <w:link w:val="Style_87_ch"/>
  </w:style>
  <w:style w:styleId="Style_87_ch" w:type="character">
    <w:name w:val="ListLabel 16"/>
    <w:link w:val="Style_87"/>
  </w:style>
  <w:style w:styleId="Style_88" w:type="paragraph">
    <w:name w:val="ListLabel 41"/>
    <w:link w:val="Style_88_ch"/>
  </w:style>
  <w:style w:styleId="Style_88_ch" w:type="character">
    <w:name w:val="ListLabel 41"/>
    <w:link w:val="Style_88"/>
  </w:style>
  <w:style w:styleId="Style_89" w:type="paragraph">
    <w:name w:val="ListLabel 45"/>
    <w:link w:val="Style_89_ch"/>
  </w:style>
  <w:style w:styleId="Style_89_ch" w:type="character">
    <w:name w:val="ListLabel 45"/>
    <w:link w:val="Style_89"/>
  </w:style>
  <w:style w:styleId="Style_90" w:type="paragraph">
    <w:name w:val="ListLabel 26"/>
    <w:link w:val="Style_90_ch"/>
    <w:rPr>
      <w:b w:val="0"/>
      <w:i w:val="0"/>
      <w:caps w:val="0"/>
      <w:smallCaps w:val="0"/>
      <w:strike w:val="0"/>
      <w:color w:val="000000"/>
      <w:spacing w:val="0"/>
      <w:sz w:val="28"/>
      <w:u w:val="none"/>
    </w:rPr>
  </w:style>
  <w:style w:styleId="Style_90_ch" w:type="character">
    <w:name w:val="ListLabel 26"/>
    <w:link w:val="Style_90"/>
    <w:rPr>
      <w:b w:val="0"/>
      <w:i w:val="0"/>
      <w:caps w:val="0"/>
      <w:smallCaps w:val="0"/>
      <w:strike w:val="0"/>
      <w:color w:val="000000"/>
      <w:spacing w:val="0"/>
      <w:sz w:val="28"/>
      <w:u w:val="none"/>
    </w:rPr>
  </w:style>
  <w:style w:styleId="Style_91" w:type="paragraph">
    <w:name w:val="ListLabel 21"/>
    <w:link w:val="Style_91_ch"/>
  </w:style>
  <w:style w:styleId="Style_91_ch" w:type="character">
    <w:name w:val="ListLabel 21"/>
    <w:link w:val="Style_91"/>
  </w:style>
  <w:style w:styleId="Style_1" w:type="paragraph">
    <w:name w:val="header"/>
    <w:basedOn w:val="Style_3"/>
    <w:link w:val="Style_1_ch"/>
    <w:pPr>
      <w:tabs>
        <w:tab w:leader="none" w:pos="4677" w:val="center"/>
        <w:tab w:leader="none" w:pos="9355" w:val="right"/>
      </w:tabs>
      <w:ind/>
    </w:pPr>
  </w:style>
  <w:style w:styleId="Style_1_ch" w:type="character">
    <w:name w:val="header"/>
    <w:basedOn w:val="Style_3_ch"/>
    <w:link w:val="Style_1"/>
  </w:style>
  <w:style w:styleId="Style_92" w:type="paragraph">
    <w:name w:val="Subtitle"/>
    <w:link w:val="Style_92_ch"/>
    <w:uiPriority w:val="11"/>
    <w:qFormat/>
    <w:rPr>
      <w:rFonts w:ascii="XO Thames" w:hAnsi="XO Thames"/>
      <w:i w:val="1"/>
      <w:color w:val="616161"/>
      <w:sz w:val="24"/>
    </w:rPr>
  </w:style>
  <w:style w:styleId="Style_92_ch" w:type="character">
    <w:name w:val="Subtitle"/>
    <w:link w:val="Style_92"/>
    <w:rPr>
      <w:rFonts w:ascii="XO Thames" w:hAnsi="XO Thames"/>
      <w:i w:val="1"/>
      <w:color w:val="616161"/>
      <w:sz w:val="24"/>
    </w:rPr>
  </w:style>
  <w:style w:styleId="Style_93" w:type="paragraph">
    <w:name w:val="ListLabel 24"/>
    <w:link w:val="Style_93_ch"/>
  </w:style>
  <w:style w:styleId="Style_93_ch" w:type="character">
    <w:name w:val="ListLabel 24"/>
    <w:link w:val="Style_93"/>
  </w:style>
  <w:style w:styleId="Style_94" w:type="paragraph">
    <w:name w:val="toc 10"/>
    <w:link w:val="Style_94_ch"/>
    <w:uiPriority w:val="39"/>
    <w:pPr>
      <w:ind w:firstLine="0" w:left="1800"/>
    </w:pPr>
  </w:style>
  <w:style w:styleId="Style_94_ch" w:type="character">
    <w:name w:val="toc 10"/>
    <w:link w:val="Style_94"/>
  </w:style>
  <w:style w:styleId="Style_2" w:type="paragraph">
    <w:name w:val="List Paragraph"/>
    <w:basedOn w:val="Style_3"/>
    <w:link w:val="Style_2_ch"/>
    <w:pPr>
      <w:ind w:firstLine="0" w:left="720"/>
      <w:contextualSpacing w:val="1"/>
    </w:pPr>
  </w:style>
  <w:style w:styleId="Style_2_ch" w:type="character">
    <w:name w:val="List Paragraph"/>
    <w:basedOn w:val="Style_3_ch"/>
    <w:link w:val="Style_2"/>
  </w:style>
  <w:style w:styleId="Style_95" w:type="paragraph">
    <w:name w:val="Title"/>
    <w:basedOn w:val="Style_3"/>
    <w:next w:val="Style_7"/>
    <w:link w:val="Style_95_ch"/>
    <w:uiPriority w:val="10"/>
    <w:qFormat/>
    <w:pPr>
      <w:keepNext w:val="1"/>
      <w:spacing w:after="120" w:before="240"/>
      <w:ind/>
    </w:pPr>
    <w:rPr>
      <w:rFonts w:ascii="Liberation Sans" w:hAnsi="Liberation Sans"/>
      <w:sz w:val="28"/>
    </w:rPr>
  </w:style>
  <w:style w:styleId="Style_95_ch" w:type="character">
    <w:name w:val="Title"/>
    <w:basedOn w:val="Style_3_ch"/>
    <w:link w:val="Style_95"/>
    <w:rPr>
      <w:rFonts w:ascii="Liberation Sans" w:hAnsi="Liberation Sans"/>
      <w:sz w:val="28"/>
    </w:rPr>
  </w:style>
  <w:style w:styleId="Style_96" w:type="paragraph">
    <w:name w:val="heading 4"/>
    <w:link w:val="Style_96_ch"/>
    <w:uiPriority w:val="9"/>
    <w:qFormat/>
    <w:pPr>
      <w:spacing w:after="120" w:before="120"/>
      <w:ind/>
      <w:outlineLvl w:val="3"/>
    </w:pPr>
    <w:rPr>
      <w:rFonts w:ascii="XO Thames" w:hAnsi="XO Thames"/>
      <w:b w:val="1"/>
      <w:color w:val="595959"/>
      <w:sz w:val="26"/>
    </w:rPr>
  </w:style>
  <w:style w:styleId="Style_96_ch" w:type="character">
    <w:name w:val="heading 4"/>
    <w:link w:val="Style_96"/>
    <w:rPr>
      <w:rFonts w:ascii="XO Thames" w:hAnsi="XO Thames"/>
      <w:b w:val="1"/>
      <w:color w:val="595959"/>
      <w:sz w:val="26"/>
    </w:rPr>
  </w:style>
  <w:style w:styleId="Style_97" w:type="paragraph">
    <w:name w:val="ListLabel 23"/>
    <w:link w:val="Style_97_ch"/>
  </w:style>
  <w:style w:styleId="Style_97_ch" w:type="character">
    <w:name w:val="ListLabel 23"/>
    <w:link w:val="Style_97"/>
  </w:style>
  <w:style w:styleId="Style_98" w:type="paragraph">
    <w:name w:val="footer"/>
    <w:basedOn w:val="Style_3"/>
    <w:link w:val="Style_98_ch"/>
    <w:pPr>
      <w:tabs>
        <w:tab w:leader="none" w:pos="4677" w:val="center"/>
        <w:tab w:leader="none" w:pos="9355" w:val="right"/>
      </w:tabs>
      <w:ind/>
    </w:pPr>
  </w:style>
  <w:style w:styleId="Style_98_ch" w:type="character">
    <w:name w:val="footer"/>
    <w:basedOn w:val="Style_3_ch"/>
    <w:link w:val="Style_98"/>
  </w:style>
  <w:style w:styleId="Style_99" w:type="paragraph">
    <w:name w:val="ListLabel 13"/>
    <w:link w:val="Style_99_ch"/>
  </w:style>
  <w:style w:styleId="Style_99_ch" w:type="character">
    <w:name w:val="ListLabel 13"/>
    <w:link w:val="Style_99"/>
  </w:style>
  <w:style w:styleId="Style_100" w:type="paragraph">
    <w:name w:val="ListLabel 47"/>
    <w:link w:val="Style_100_ch"/>
  </w:style>
  <w:style w:styleId="Style_100_ch" w:type="character">
    <w:name w:val="ListLabel 47"/>
    <w:link w:val="Style_100"/>
  </w:style>
  <w:style w:styleId="Style_101" w:type="paragraph">
    <w:name w:val="index heading"/>
    <w:basedOn w:val="Style_3"/>
    <w:link w:val="Style_101_ch"/>
  </w:style>
  <w:style w:styleId="Style_101_ch" w:type="character">
    <w:name w:val="index heading"/>
    <w:basedOn w:val="Style_3_ch"/>
    <w:link w:val="Style_101"/>
  </w:style>
  <w:style w:styleId="Style_102" w:type="paragraph">
    <w:name w:val="heading 2"/>
    <w:link w:val="Style_102_ch"/>
    <w:uiPriority w:val="9"/>
    <w:qFormat/>
    <w:pPr>
      <w:spacing w:after="120" w:before="120"/>
      <w:ind/>
      <w:outlineLvl w:val="1"/>
    </w:pPr>
    <w:rPr>
      <w:rFonts w:ascii="XO Thames" w:hAnsi="XO Thames"/>
      <w:b w:val="1"/>
      <w:color w:val="00A0FF"/>
      <w:sz w:val="26"/>
    </w:rPr>
  </w:style>
  <w:style w:styleId="Style_102_ch" w:type="character">
    <w:name w:val="heading 2"/>
    <w:link w:val="Style_102"/>
    <w:rPr>
      <w:rFonts w:ascii="XO Thames" w:hAnsi="XO Thames"/>
      <w:b w:val="1"/>
      <w:color w:val="00A0FF"/>
      <w:sz w:val="26"/>
    </w:rPr>
  </w:style>
  <w:style w:styleId="Style_103" w:type="paragraph">
    <w:name w:val="ListLabel 55"/>
    <w:link w:val="Style_103_ch"/>
  </w:style>
  <w:style w:styleId="Style_103_ch" w:type="character">
    <w:name w:val="ListLabel 55"/>
    <w:link w:val="Style_103"/>
  </w:style>
  <w:style w:styleId="Style_104" w:type="paragraph">
    <w:name w:val="Default"/>
    <w:link w:val="Style_104_ch"/>
    <w:rPr>
      <w:color w:val="000000"/>
      <w:sz w:val="24"/>
    </w:rPr>
  </w:style>
  <w:style w:styleId="Style_104_ch" w:type="character">
    <w:name w:val="Default"/>
    <w:link w:val="Style_104"/>
    <w:rPr>
      <w:color w:val="000000"/>
      <w:sz w:val="24"/>
    </w:rPr>
  </w:style>
  <w:style w:styleId="Style_105" w:type="paragraph">
    <w:name w:val="ListLabel 46"/>
    <w:link w:val="Style_105_ch"/>
  </w:style>
  <w:style w:styleId="Style_105_ch" w:type="character">
    <w:name w:val="ListLabel 46"/>
    <w:link w:val="Style_105"/>
  </w:style>
  <w:style w:styleId="Style_106" w:type="paragraph">
    <w:name w:val="ListLabel 17"/>
    <w:link w:val="Style_106_ch"/>
  </w:style>
  <w:style w:styleId="Style_106_ch" w:type="character">
    <w:name w:val="ListLabel 17"/>
    <w:link w:val="Style_106"/>
  </w:style>
  <w:style w:default="1" w:styleId="Style_107" w:type="table">
    <w:name w:val="Normal Table"/>
    <w:tblPr>
      <w:tblInd w:type="dxa" w:w="0"/>
      <w:tblCellMar>
        <w:top w:type="dxa" w:w="0"/>
        <w:left w:type="dxa" w:w="108"/>
        <w:bottom w:type="dxa" w:w="0"/>
        <w:right w:type="dxa" w:w="108"/>
      </w:tblCellMar>
    </w:tblPr>
  </w:style>
  <w:style w:styleId="Style_108" w:type="table">
    <w:name w:val="Table Grid"/>
    <w:basedOn w:val="Style_107"/>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MyOffice-CoreFramework-Windows/13.0-597.96.2935.234.1@RELEASE-DESKTOP-MINT-ST-2</Application>
</Properties>
</file>