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3000000">
      <w:pPr>
        <w:widowControl w:val="0"/>
        <w:ind w:firstLine="748" w:left="0"/>
        <w:rPr>
          <w:sz w:val="28"/>
        </w:rPr>
      </w:pPr>
      <w:r>
        <w:rPr>
          <w:sz w:val="28"/>
        </w:rPr>
        <w:t xml:space="preserve">№ 23002-СШ/Д26и от 23.09.2019 г. </w:t>
      </w:r>
    </w:p>
    <w:p w14:paraId="04000000">
      <w:pPr>
        <w:widowControl w:val="0"/>
        <w:ind w:firstLine="748" w:left="0"/>
        <w:rPr>
          <w:sz w:val="28"/>
        </w:rPr>
      </w:pPr>
    </w:p>
    <w:p w14:paraId="05000000">
      <w:pPr>
        <w:widowControl w:val="0"/>
        <w:ind w:firstLine="748" w:left="0"/>
        <w:rPr>
          <w:sz w:val="28"/>
        </w:rPr>
      </w:pPr>
    </w:p>
    <w:p w14:paraId="06000000">
      <w:pPr>
        <w:widowControl w:val="0"/>
        <w:ind w:firstLine="748" w:left="0"/>
        <w:jc w:val="center"/>
        <w:rPr>
          <w:sz w:val="28"/>
        </w:rPr>
      </w:pPr>
    </w:p>
    <w:p w14:paraId="07000000">
      <w:pPr>
        <w:widowControl w:val="0"/>
        <w:spacing w:after="120"/>
        <w:ind/>
        <w:jc w:val="center"/>
        <w:rPr>
          <w:sz w:val="26"/>
        </w:rPr>
      </w:pPr>
      <w:r>
        <w:rPr>
          <w:sz w:val="26"/>
        </w:rPr>
        <w:t>ЗАКЛЮЧЕНИЕ</w:t>
      </w:r>
    </w:p>
    <w:p w14:paraId="08000000">
      <w:pPr>
        <w:ind/>
        <w:jc w:val="center"/>
        <w:rPr>
          <w:sz w:val="26"/>
        </w:rPr>
      </w:pPr>
      <w:r>
        <w:rPr>
          <w:sz w:val="26"/>
        </w:rPr>
        <w:t>об оценке регулирующего воздействия на проект</w:t>
      </w:r>
      <w:r>
        <w:rPr>
          <w:sz w:val="26"/>
        </w:rPr>
        <w:t xml:space="preserve"> </w:t>
      </w:r>
      <w:r>
        <w:rPr>
          <w:sz w:val="26"/>
        </w:rPr>
        <w:t>постановления Правительства Российской Федерации «Об утверждении</w:t>
      </w:r>
      <w:r>
        <w:rPr>
          <w:sz w:val="26"/>
        </w:rPr>
        <w:t xml:space="preserve"> </w:t>
      </w:r>
      <w:r>
        <w:rPr>
          <w:sz w:val="26"/>
        </w:rPr>
        <w:t xml:space="preserve">Положения об охранных зонах железных дорог </w:t>
      </w:r>
      <w:r>
        <w:rPr>
          <w:sz w:val="26"/>
        </w:rPr>
        <w:br/>
      </w:r>
      <w:r>
        <w:rPr>
          <w:sz w:val="26"/>
        </w:rPr>
        <w:t>и о внесении изменений в</w:t>
      </w:r>
      <w:r>
        <w:rPr>
          <w:sz w:val="26"/>
        </w:rPr>
        <w:t xml:space="preserve"> </w:t>
      </w:r>
      <w:r>
        <w:rPr>
          <w:sz w:val="26"/>
        </w:rPr>
        <w:t xml:space="preserve">постановление Правительства Российской Федерации </w:t>
      </w:r>
      <w:r>
        <w:rPr>
          <w:sz w:val="26"/>
        </w:rPr>
        <w:br/>
      </w:r>
      <w:r>
        <w:rPr>
          <w:sz w:val="26"/>
        </w:rPr>
        <w:t>от 12 октября 2006 г.</w:t>
      </w:r>
      <w:r>
        <w:rPr>
          <w:sz w:val="26"/>
        </w:rPr>
        <w:t xml:space="preserve"> № 61</w:t>
      </w:r>
      <w:r>
        <w:rPr>
          <w:sz w:val="26"/>
        </w:rPr>
        <w:t xml:space="preserve">1 «О порядке установления и использования полос отвода </w:t>
      </w:r>
      <w:r>
        <w:rPr>
          <w:sz w:val="26"/>
        </w:rPr>
        <w:br/>
      </w:r>
      <w:r>
        <w:rPr>
          <w:sz w:val="26"/>
        </w:rPr>
        <w:t>и охранных зон»</w:t>
      </w:r>
    </w:p>
    <w:p w14:paraId="09000000">
      <w:pPr>
        <w:rPr>
          <w:sz w:val="26"/>
        </w:rPr>
      </w:pPr>
    </w:p>
    <w:p w14:paraId="0A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>
        <w:rPr>
          <w:sz w:val="26"/>
        </w:rPr>
        <w:br/>
      </w:r>
      <w:r>
        <w:rPr>
          <w:sz w:val="26"/>
        </w:rPr>
        <w:t xml:space="preserve">от 17 декабря 2012 г. № 1318 (далее – Правила), рассмотрело проект </w:t>
      </w:r>
      <w:r>
        <w:rPr>
          <w:sz w:val="26"/>
        </w:rPr>
        <w:t>постановления Правительства Российской Федерации «Об утверждении Положения об охранных зонах железных дорог и о внесении изменений в постановление Правительства Российской Федерации от 12 октября 2006 г. № 611 «О порядке установления и использования полос отвода и охранных зон»</w:t>
      </w:r>
      <w:r>
        <w:rPr>
          <w:sz w:val="26"/>
        </w:rPr>
        <w:t xml:space="preserve"> </w:t>
      </w:r>
      <w:r>
        <w:rPr>
          <w:sz w:val="26"/>
        </w:rPr>
        <w:t>(далее</w:t>
      </w:r>
      <w:r>
        <w:rPr>
          <w:sz w:val="26"/>
        </w:rPr>
        <w:t xml:space="preserve"> </w:t>
      </w:r>
      <w:r>
        <w:rPr>
          <w:sz w:val="26"/>
        </w:rPr>
        <w:t xml:space="preserve">– проект акта), разработанный и направленный </w:t>
      </w:r>
      <w:r>
        <w:rPr>
          <w:sz w:val="26"/>
        </w:rPr>
        <w:br/>
      </w:r>
      <w:r>
        <w:rPr>
          <w:sz w:val="26"/>
        </w:rPr>
        <w:t>для подготовки настоящего заключения Мин</w:t>
      </w:r>
      <w:r>
        <w:rPr>
          <w:sz w:val="26"/>
        </w:rPr>
        <w:t>трансом</w:t>
      </w:r>
      <w:r>
        <w:rPr>
          <w:sz w:val="26"/>
        </w:rPr>
        <w:t xml:space="preserve"> России (далее – разработчик), </w:t>
      </w:r>
      <w:r>
        <w:rPr>
          <w:sz w:val="26"/>
        </w:rPr>
        <w:br/>
      </w:r>
      <w:r>
        <w:rPr>
          <w:sz w:val="26"/>
        </w:rPr>
        <w:t>и сообщает следующее.</w:t>
      </w:r>
      <w:r>
        <w:rPr>
          <w:sz w:val="26"/>
        </w:rPr>
        <w:t xml:space="preserve"> </w:t>
      </w:r>
    </w:p>
    <w:p w14:paraId="0B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Проект акта направлен разработчиком для подготовки настоящего заключения </w:t>
      </w:r>
      <w:r>
        <w:rPr>
          <w:sz w:val="26"/>
        </w:rPr>
        <w:t>повторно</w:t>
      </w:r>
      <w:r>
        <w:rPr>
          <w:sz w:val="26"/>
        </w:rPr>
        <w:t>.</w:t>
      </w:r>
      <w:r>
        <w:rPr>
          <w:sz w:val="26"/>
        </w:rPr>
        <w:t xml:space="preserve"> Ранее Минэкономразвития России было подготовлено заключение об оценке регулирующего воздействия</w:t>
      </w:r>
      <w:r>
        <w:rPr>
          <w:sz w:val="26"/>
        </w:rPr>
        <w:t xml:space="preserve"> на проект акта</w:t>
      </w:r>
      <w:r>
        <w:rPr>
          <w:sz w:val="26"/>
        </w:rPr>
        <w:t>, содержащее ряд замечаний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и направлено</w:t>
      </w:r>
      <w:r>
        <w:rPr>
          <w:sz w:val="26"/>
        </w:rPr>
        <w:br/>
      </w:r>
      <w:r>
        <w:rPr>
          <w:sz w:val="26"/>
        </w:rPr>
        <w:t>в Минтранс России пи</w:t>
      </w:r>
      <w:r>
        <w:rPr>
          <w:sz w:val="26"/>
        </w:rPr>
        <w:t>сьмом от 3 марта 2018 г. № 5598-СШ/Д26и</w:t>
      </w:r>
      <w:r>
        <w:rPr>
          <w:sz w:val="26"/>
        </w:rPr>
        <w:t>. Представленная редакция значительно отличается от предыдущей.</w:t>
      </w:r>
    </w:p>
    <w:p w14:paraId="0C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Разработчиком проведены публичные обсуждения проекта акта и сводного отчета </w:t>
      </w:r>
      <w:r>
        <w:rPr>
          <w:sz w:val="26"/>
        </w:rPr>
        <w:br/>
      </w:r>
      <w:r>
        <w:rPr>
          <w:sz w:val="26"/>
        </w:rPr>
        <w:t>о проведении оценки регулирующего воздействия (далее – сводный отчет) в период</w:t>
      </w:r>
      <w:r>
        <w:rPr>
          <w:sz w:val="26"/>
        </w:rPr>
        <w:t>ы</w:t>
      </w:r>
      <w:r>
        <w:rPr>
          <w:sz w:val="26"/>
        </w:rPr>
        <w:t xml:space="preserve"> </w:t>
      </w:r>
      <w:r>
        <w:rPr>
          <w:sz w:val="26"/>
        </w:rPr>
        <w:br/>
      </w:r>
      <w:r>
        <w:rPr>
          <w:sz w:val="26"/>
        </w:rPr>
        <w:t xml:space="preserve">со 2 февраля по 15 февраля 2018 года, с 27 июня по 8 июля 2019 года, </w:t>
      </w:r>
      <w:r>
        <w:rPr>
          <w:sz w:val="26"/>
        </w:rPr>
        <w:t xml:space="preserve">с </w:t>
      </w:r>
      <w:r>
        <w:rPr>
          <w:sz w:val="26"/>
        </w:rPr>
        <w:t>1</w:t>
      </w:r>
      <w:r>
        <w:rPr>
          <w:sz w:val="26"/>
        </w:rPr>
        <w:t>6</w:t>
      </w:r>
      <w:r>
        <w:rPr>
          <w:sz w:val="26"/>
        </w:rPr>
        <w:t xml:space="preserve"> </w:t>
      </w:r>
      <w:r>
        <w:rPr>
          <w:sz w:val="26"/>
        </w:rPr>
        <w:t>а</w:t>
      </w:r>
      <w:r>
        <w:rPr>
          <w:sz w:val="26"/>
        </w:rPr>
        <w:t>вгуста</w:t>
      </w:r>
      <w:r>
        <w:rPr>
          <w:sz w:val="26"/>
        </w:rPr>
        <w:t xml:space="preserve"> </w:t>
      </w:r>
      <w:r>
        <w:rPr>
          <w:sz w:val="26"/>
        </w:rPr>
        <w:br/>
      </w:r>
      <w:r>
        <w:rPr>
          <w:sz w:val="26"/>
        </w:rPr>
        <w:t xml:space="preserve">по </w:t>
      </w:r>
      <w:r>
        <w:rPr>
          <w:sz w:val="26"/>
        </w:rPr>
        <w:t>27</w:t>
      </w:r>
      <w:r>
        <w:rPr>
          <w:sz w:val="26"/>
        </w:rPr>
        <w:t xml:space="preserve"> </w:t>
      </w:r>
      <w:r>
        <w:rPr>
          <w:sz w:val="26"/>
        </w:rPr>
        <w:t>а</w:t>
      </w:r>
      <w:r>
        <w:rPr>
          <w:sz w:val="26"/>
        </w:rPr>
        <w:t>вгуста</w:t>
      </w:r>
      <w:r>
        <w:rPr>
          <w:sz w:val="26"/>
        </w:rPr>
        <w:t xml:space="preserve"> 2019 года.</w:t>
      </w:r>
    </w:p>
    <w:p w14:paraId="0D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Информация об оценке регулирующего воздействия проекта акта размещена разработчиком на Федеральном портале проектов нормативных правовых актов </w:t>
      </w:r>
      <w:r>
        <w:rPr>
          <w:sz w:val="26"/>
        </w:rPr>
        <w:br/>
      </w:r>
      <w:r>
        <w:rPr>
          <w:sz w:val="26"/>
        </w:rPr>
        <w:t xml:space="preserve">в информационно-телекоммуникационной сети «Интернет» по адресу: regulation.gov.ru </w:t>
      </w:r>
      <w:r>
        <w:rPr>
          <w:sz w:val="26"/>
        </w:rPr>
        <w:br/>
      </w:r>
      <w:r>
        <w:rPr>
          <w:sz w:val="26"/>
        </w:rPr>
        <w:t>(ID проекта: 02/0</w:t>
      </w:r>
      <w:r>
        <w:rPr>
          <w:sz w:val="26"/>
        </w:rPr>
        <w:t>7</w:t>
      </w:r>
      <w:r>
        <w:rPr>
          <w:sz w:val="26"/>
        </w:rPr>
        <w:t>/0</w:t>
      </w:r>
      <w:r>
        <w:rPr>
          <w:sz w:val="26"/>
        </w:rPr>
        <w:t>2</w:t>
      </w:r>
      <w:r>
        <w:rPr>
          <w:sz w:val="26"/>
        </w:rPr>
        <w:t>-1</w:t>
      </w:r>
      <w:r>
        <w:rPr>
          <w:sz w:val="26"/>
        </w:rPr>
        <w:t>8</w:t>
      </w:r>
      <w:r>
        <w:rPr>
          <w:sz w:val="26"/>
        </w:rPr>
        <w:t>/000</w:t>
      </w:r>
      <w:r>
        <w:rPr>
          <w:sz w:val="26"/>
        </w:rPr>
        <w:t>77988</w:t>
      </w:r>
      <w:r>
        <w:rPr>
          <w:sz w:val="26"/>
        </w:rPr>
        <w:t>).</w:t>
      </w:r>
    </w:p>
    <w:p w14:paraId="0E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Минэкономразвития России в соответствии с пунктом 28 Правил были проведены публичные консультации с представителями субъектов предпринимательской деятельности </w:t>
      </w:r>
      <w:r>
        <w:rPr>
          <w:sz w:val="26"/>
        </w:rPr>
        <w:t>и субъектами Российской Федерации в срок с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2</w:t>
      </w:r>
      <w:r>
        <w:rPr>
          <w:sz w:val="26"/>
        </w:rPr>
        <w:t xml:space="preserve"> </w:t>
      </w:r>
      <w:r>
        <w:rPr>
          <w:sz w:val="26"/>
        </w:rPr>
        <w:t>сентября</w:t>
      </w:r>
      <w:r>
        <w:rPr>
          <w:sz w:val="26"/>
        </w:rPr>
        <w:t xml:space="preserve"> по </w:t>
      </w:r>
      <w:r>
        <w:rPr>
          <w:sz w:val="26"/>
        </w:rPr>
        <w:t>9</w:t>
      </w:r>
      <w:r>
        <w:rPr>
          <w:sz w:val="26"/>
        </w:rPr>
        <w:t xml:space="preserve"> </w:t>
      </w:r>
      <w:r>
        <w:rPr>
          <w:sz w:val="26"/>
        </w:rPr>
        <w:t>сентября</w:t>
      </w:r>
      <w:r>
        <w:rPr>
          <w:sz w:val="26"/>
        </w:rPr>
        <w:t xml:space="preserve"> 2019 года. В ходе публичных консультаций был</w:t>
      </w:r>
      <w:r>
        <w:rPr>
          <w:sz w:val="26"/>
        </w:rPr>
        <w:t>и</w:t>
      </w:r>
      <w:r>
        <w:rPr>
          <w:sz w:val="26"/>
        </w:rPr>
        <w:t xml:space="preserve"> получен</w:t>
      </w:r>
      <w:r>
        <w:rPr>
          <w:sz w:val="26"/>
        </w:rPr>
        <w:t>ы</w:t>
      </w:r>
      <w:r>
        <w:rPr>
          <w:sz w:val="26"/>
        </w:rPr>
        <w:t xml:space="preserve"> позици</w:t>
      </w:r>
      <w:r>
        <w:rPr>
          <w:sz w:val="26"/>
        </w:rPr>
        <w:t>и</w:t>
      </w:r>
      <w:r>
        <w:rPr>
          <w:sz w:val="26"/>
        </w:rPr>
        <w:t xml:space="preserve"> ООО </w:t>
      </w:r>
      <w:r>
        <w:rPr>
          <w:sz w:val="26"/>
        </w:rPr>
        <w:t>«</w:t>
      </w:r>
      <w:r>
        <w:rPr>
          <w:sz w:val="26"/>
        </w:rPr>
        <w:t>Делов</w:t>
      </w:r>
      <w:r>
        <w:rPr>
          <w:sz w:val="26"/>
        </w:rPr>
        <w:t>ая</w:t>
      </w:r>
      <w:r>
        <w:rPr>
          <w:sz w:val="26"/>
        </w:rPr>
        <w:t xml:space="preserve"> Росси</w:t>
      </w:r>
      <w:r>
        <w:rPr>
          <w:sz w:val="26"/>
        </w:rPr>
        <w:t>я»</w:t>
      </w:r>
      <w:r>
        <w:rPr>
          <w:sz w:val="26"/>
        </w:rPr>
        <w:t xml:space="preserve">, </w:t>
      </w:r>
      <w:r>
        <w:rPr>
          <w:sz w:val="26"/>
        </w:rPr>
        <w:br/>
      </w:r>
      <w:r>
        <w:rPr>
          <w:sz w:val="26"/>
        </w:rPr>
        <w:t xml:space="preserve">АО «Мосинжпроект», АО «АК «Железные дороги Якутии», ООО «Инженерный центр «Мосты и Тоннели», СРО Ассоциация «Объединение генеральных подрядчиков </w:t>
      </w:r>
      <w:r>
        <w:rPr>
          <w:sz w:val="26"/>
        </w:rPr>
        <w:br/>
      </w:r>
      <w:r>
        <w:rPr>
          <w:sz w:val="26"/>
        </w:rPr>
        <w:t>в строительстве»</w:t>
      </w:r>
      <w:r>
        <w:rPr>
          <w:sz w:val="26"/>
        </w:rPr>
        <w:t xml:space="preserve">, </w:t>
      </w:r>
      <w:r>
        <w:rPr>
          <w:sz w:val="26"/>
        </w:rPr>
        <w:t>поддерживающих предлагаемое регулирование</w:t>
      </w:r>
      <w:r>
        <w:rPr>
          <w:sz w:val="26"/>
        </w:rPr>
        <w:t xml:space="preserve">. </w:t>
      </w:r>
      <w:r>
        <w:rPr>
          <w:sz w:val="26"/>
        </w:rPr>
        <w:t>Отдельные</w:t>
      </w:r>
      <w:r>
        <w:rPr>
          <w:sz w:val="26"/>
        </w:rPr>
        <w:t xml:space="preserve"> замечания </w:t>
      </w:r>
      <w:r>
        <w:rPr>
          <w:sz w:val="26"/>
        </w:rPr>
        <w:br/>
      </w:r>
      <w:r>
        <w:rPr>
          <w:sz w:val="26"/>
        </w:rPr>
        <w:t>и предложения приведены в приложении к настоящему заключению.</w:t>
      </w:r>
    </w:p>
    <w:p w14:paraId="0F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Проектом акта</w:t>
      </w:r>
      <w:r>
        <w:rPr>
          <w:sz w:val="26"/>
        </w:rPr>
        <w:t xml:space="preserve"> регламентируется процедура </w:t>
      </w:r>
      <w:r>
        <w:rPr>
          <w:sz w:val="26"/>
        </w:rPr>
        <w:t xml:space="preserve">установления, изменения, прекращения существования охранных зон железных дорог (далее </w:t>
      </w:r>
      <w:r>
        <w:rPr>
          <w:sz w:val="26"/>
        </w:rPr>
        <w:t>–</w:t>
      </w:r>
      <w:r>
        <w:rPr>
          <w:sz w:val="26"/>
        </w:rPr>
        <w:t xml:space="preserve"> охранная зона), а также условия использования земельных участков, расположенных в пределах охранных зон.</w:t>
      </w:r>
    </w:p>
    <w:p w14:paraId="10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На основании публичных консультаций к проекту акта могут быть сделаны следующие замечания.</w:t>
      </w:r>
    </w:p>
    <w:p w14:paraId="11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 xml:space="preserve">1. Положения проекта акта не </w:t>
      </w:r>
      <w:r>
        <w:rPr>
          <w:sz w:val="26"/>
        </w:rPr>
        <w:t xml:space="preserve">позволяют </w:t>
      </w:r>
      <w:r>
        <w:rPr>
          <w:sz w:val="26"/>
        </w:rPr>
        <w:t xml:space="preserve">в полной мере </w:t>
      </w:r>
      <w:r>
        <w:rPr>
          <w:sz w:val="26"/>
        </w:rPr>
        <w:t>реализовать на практике</w:t>
      </w:r>
      <w:r>
        <w:rPr>
          <w:sz w:val="26"/>
        </w:rPr>
        <w:t xml:space="preserve"> </w:t>
      </w:r>
      <w:r>
        <w:rPr>
          <w:sz w:val="26"/>
        </w:rPr>
        <w:t>подходы</w:t>
      </w:r>
      <w:r>
        <w:rPr>
          <w:sz w:val="26"/>
        </w:rPr>
        <w:t>, установленны</w:t>
      </w:r>
      <w:r>
        <w:rPr>
          <w:sz w:val="26"/>
        </w:rPr>
        <w:t>е</w:t>
      </w:r>
      <w:r>
        <w:rPr>
          <w:sz w:val="26"/>
        </w:rPr>
        <w:t xml:space="preserve"> действующ</w:t>
      </w:r>
      <w:r>
        <w:rPr>
          <w:sz w:val="26"/>
        </w:rPr>
        <w:t>им</w:t>
      </w:r>
      <w:r>
        <w:rPr>
          <w:sz w:val="26"/>
        </w:rPr>
        <w:t xml:space="preserve"> законодательств</w:t>
      </w:r>
      <w:r>
        <w:rPr>
          <w:sz w:val="26"/>
        </w:rPr>
        <w:t>ом</w:t>
      </w:r>
      <w:r>
        <w:rPr>
          <w:sz w:val="26"/>
        </w:rPr>
        <w:t>, в частности, статьей 106 Земельного кодекса Российской Федерации (далее – ЗК РФ).</w:t>
      </w:r>
    </w:p>
    <w:p w14:paraId="12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>Так,</w:t>
      </w:r>
      <w:r>
        <w:rPr>
          <w:sz w:val="26"/>
        </w:rPr>
        <w:t xml:space="preserve"> в соответствии со статьей 106 ЗК РФ проект акта должен</w:t>
      </w:r>
      <w:r>
        <w:rPr>
          <w:sz w:val="26"/>
        </w:rPr>
        <w:t xml:space="preserve"> содержать </w:t>
      </w:r>
      <w:r>
        <w:rPr>
          <w:sz w:val="26"/>
        </w:rPr>
        <w:t xml:space="preserve">перечень </w:t>
      </w:r>
      <w:r>
        <w:rPr>
          <w:sz w:val="26"/>
        </w:rPr>
        <w:t xml:space="preserve">ограничений использования земельных участков, которые могут быть установлены </w:t>
      </w:r>
      <w:r>
        <w:rPr>
          <w:sz w:val="26"/>
        </w:rPr>
        <w:br/>
      </w:r>
      <w:r>
        <w:rPr>
          <w:sz w:val="26"/>
        </w:rPr>
        <w:t xml:space="preserve">в границах охранных зон, а также перечень ограничений хозяйственной и иной деятельности, которые могут быть установлены на водном объекте в случае, </w:t>
      </w:r>
      <w:r>
        <w:rPr>
          <w:sz w:val="26"/>
        </w:rPr>
        <w:br/>
      </w:r>
      <w:r>
        <w:rPr>
          <w:sz w:val="26"/>
        </w:rPr>
        <w:t xml:space="preserve">если в границы зоны с особыми условиями использования территории включаются акватория водного объекта, ее часть. </w:t>
      </w:r>
    </w:p>
    <w:p w14:paraId="13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 xml:space="preserve">унктом 5 проекта акта установлен перечень запретов видов хозяйственной деятельности в случаях, если их осуществление угрожает безопасности движения </w:t>
      </w:r>
      <w:r>
        <w:rPr>
          <w:sz w:val="26"/>
        </w:rPr>
        <w:br/>
      </w:r>
      <w:r>
        <w:rPr>
          <w:sz w:val="26"/>
        </w:rPr>
        <w:t xml:space="preserve">и эксплуатации железнодорожного транспорта. </w:t>
      </w:r>
    </w:p>
    <w:p w14:paraId="14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>При этом проектом акта не раскрыт</w:t>
      </w:r>
      <w:r>
        <w:rPr>
          <w:sz w:val="26"/>
        </w:rPr>
        <w:t>ы вопросы</w:t>
      </w:r>
      <w:r>
        <w:rPr>
          <w:sz w:val="26"/>
        </w:rPr>
        <w:t>, в каких случаях</w:t>
      </w:r>
      <w:r>
        <w:rPr>
          <w:sz w:val="26"/>
        </w:rPr>
        <w:t xml:space="preserve"> и на основании </w:t>
      </w:r>
      <w:r>
        <w:rPr>
          <w:sz w:val="26"/>
        </w:rPr>
        <w:br/>
      </w:r>
      <w:r>
        <w:rPr>
          <w:sz w:val="26"/>
        </w:rPr>
        <w:t>каких критериев</w:t>
      </w:r>
      <w:r>
        <w:rPr>
          <w:sz w:val="26"/>
        </w:rPr>
        <w:t xml:space="preserve"> принимает</w:t>
      </w:r>
      <w:r>
        <w:rPr>
          <w:sz w:val="26"/>
        </w:rPr>
        <w:t>ся</w:t>
      </w:r>
      <w:r>
        <w:rPr>
          <w:sz w:val="26"/>
        </w:rPr>
        <w:t xml:space="preserve"> решение об ограничении хозяйственной деятельности третьих лиц. </w:t>
      </w:r>
    </w:p>
    <w:p w14:paraId="15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 xml:space="preserve">Таким образом, представляется необходимым </w:t>
      </w:r>
      <w:r>
        <w:rPr>
          <w:sz w:val="26"/>
        </w:rPr>
        <w:t>детализировать особенности ограничения использования территорий при установлении охранных зон</w:t>
      </w:r>
      <w:r>
        <w:rPr>
          <w:sz w:val="26"/>
        </w:rPr>
        <w:t>.</w:t>
      </w:r>
    </w:p>
    <w:p w14:paraId="16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</w:rPr>
        <w:t xml:space="preserve">. </w:t>
      </w:r>
      <w:r>
        <w:rPr>
          <w:sz w:val="26"/>
        </w:rPr>
        <w:t>Абзацем вторым п</w:t>
      </w:r>
      <w:r>
        <w:rPr>
          <w:sz w:val="26"/>
        </w:rPr>
        <w:t>ункт</w:t>
      </w:r>
      <w:r>
        <w:rPr>
          <w:sz w:val="26"/>
        </w:rPr>
        <w:t>а</w:t>
      </w:r>
      <w:r>
        <w:rPr>
          <w:sz w:val="26"/>
        </w:rPr>
        <w:t xml:space="preserve"> 5.1 проекта акта устанавливаются требования </w:t>
      </w:r>
      <w:r>
        <w:rPr>
          <w:sz w:val="26"/>
        </w:rPr>
        <w:br/>
      </w:r>
      <w:r>
        <w:rPr>
          <w:sz w:val="26"/>
        </w:rPr>
        <w:t>к с</w:t>
      </w:r>
      <w:r>
        <w:rPr>
          <w:sz w:val="26"/>
        </w:rPr>
        <w:t xml:space="preserve">троительству, реконструкции, капитальному ремонту объектов капитального строительства и линейных объектов в охранных зонах, не относящихся к инфраструктуре железнодорожного транспорта общего пользования, конструктивно не связанных </w:t>
      </w:r>
      <w:r>
        <w:rPr>
          <w:sz w:val="26"/>
        </w:rPr>
        <w:br/>
      </w:r>
      <w:r>
        <w:rPr>
          <w:sz w:val="26"/>
        </w:rPr>
        <w:t xml:space="preserve">с железнодорожными путями и не предназначенными для </w:t>
      </w:r>
      <w:r>
        <w:rPr>
          <w:sz w:val="26"/>
        </w:rPr>
        <w:t>их обслуживания и эксплуатации.</w:t>
      </w:r>
    </w:p>
    <w:p w14:paraId="17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Так, </w:t>
      </w:r>
      <w:r>
        <w:rPr>
          <w:sz w:val="26"/>
        </w:rPr>
        <w:t xml:space="preserve">в соответствии с проектом акта </w:t>
      </w:r>
      <w:r>
        <w:rPr>
          <w:sz w:val="26"/>
        </w:rPr>
        <w:t>указанная деятельность должна осуществляться с соблюдением требований в области безопасности движения и эксплуатации железнодорожного транспорта</w:t>
      </w:r>
      <w:r>
        <w:rPr>
          <w:sz w:val="26"/>
        </w:rPr>
        <w:t>.</w:t>
      </w:r>
      <w:r>
        <w:rPr>
          <w:sz w:val="26"/>
        </w:rPr>
        <w:t xml:space="preserve"> </w:t>
      </w:r>
    </w:p>
    <w:p w14:paraId="18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Однако</w:t>
      </w:r>
      <w:r>
        <w:rPr>
          <w:sz w:val="26"/>
        </w:rPr>
        <w:t xml:space="preserve"> требования к </w:t>
      </w:r>
      <w:r>
        <w:rPr>
          <w:sz w:val="26"/>
        </w:rPr>
        <w:t>с</w:t>
      </w:r>
      <w:r>
        <w:rPr>
          <w:sz w:val="26"/>
        </w:rPr>
        <w:t xml:space="preserve">троительству, реконструкции, капитальному ремонту объектов капитального строительства по обеспечению безопасности зданий, строений, сооружений </w:t>
      </w:r>
      <w:r>
        <w:rPr>
          <w:sz w:val="26"/>
        </w:rPr>
        <w:t xml:space="preserve">определены </w:t>
      </w:r>
      <w:r>
        <w:rPr>
          <w:sz w:val="26"/>
        </w:rPr>
        <w:t>Федеральным законом от 30 декабря 2009 № 384-ФЗ «Технический регламент о безопасности зданий и сооружений» и принятыми в его развитие нормативными правовыми актами.</w:t>
      </w:r>
    </w:p>
    <w:p w14:paraId="19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При этом требования в части движения и эксплуатации железнодорожного транспорта</w:t>
      </w:r>
      <w:r>
        <w:rPr>
          <w:sz w:val="26"/>
        </w:rPr>
        <w:t xml:space="preserve"> </w:t>
      </w:r>
      <w:r>
        <w:rPr>
          <w:sz w:val="26"/>
        </w:rPr>
        <w:t xml:space="preserve">не </w:t>
      </w:r>
      <w:r>
        <w:rPr>
          <w:sz w:val="26"/>
        </w:rPr>
        <w:t xml:space="preserve">могут </w:t>
      </w:r>
      <w:r>
        <w:rPr>
          <w:sz w:val="26"/>
        </w:rPr>
        <w:t>относ</w:t>
      </w:r>
      <w:r>
        <w:rPr>
          <w:sz w:val="26"/>
        </w:rPr>
        <w:t>и</w:t>
      </w:r>
      <w:r>
        <w:rPr>
          <w:sz w:val="26"/>
        </w:rPr>
        <w:t>т</w:t>
      </w:r>
      <w:r>
        <w:rPr>
          <w:sz w:val="26"/>
        </w:rPr>
        <w:t>ь</w:t>
      </w:r>
      <w:r>
        <w:rPr>
          <w:sz w:val="26"/>
        </w:rPr>
        <w:t>ся к застройщикам объектов</w:t>
      </w:r>
      <w:r>
        <w:rPr>
          <w:sz w:val="26"/>
        </w:rPr>
        <w:t xml:space="preserve"> капитального строительства </w:t>
      </w:r>
      <w:r>
        <w:rPr>
          <w:sz w:val="26"/>
        </w:rPr>
        <w:br/>
      </w:r>
      <w:r>
        <w:rPr>
          <w:sz w:val="26"/>
        </w:rPr>
        <w:t>и линейных объектов</w:t>
      </w:r>
      <w:r>
        <w:rPr>
          <w:sz w:val="26"/>
        </w:rPr>
        <w:t>, не связанных с эксплуатацией железнодорожного транспорта</w:t>
      </w:r>
      <w:r>
        <w:rPr>
          <w:sz w:val="26"/>
        </w:rPr>
        <w:t>.</w:t>
      </w:r>
      <w:r>
        <w:rPr>
          <w:sz w:val="26"/>
        </w:rPr>
        <w:t xml:space="preserve"> </w:t>
      </w:r>
    </w:p>
    <w:p w14:paraId="1A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В этой связи установление требований для такой категории лиц представляется избыточным, </w:t>
      </w:r>
      <w:r>
        <w:rPr>
          <w:sz w:val="26"/>
        </w:rPr>
        <w:t>вследствие чего необходимо</w:t>
      </w:r>
      <w:r>
        <w:rPr>
          <w:sz w:val="26"/>
        </w:rPr>
        <w:t xml:space="preserve"> исключить требования абзаца второго пункта 5.1 из проекта акта.</w:t>
      </w:r>
    </w:p>
    <w:p w14:paraId="1B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Кроме того, следует отметить, что абзацем первым пункта 5.1 проекта акта устанавливается, что строительство и реконструкция объектов капитального строительства и линейных объектов осуществля</w:t>
      </w:r>
      <w:r>
        <w:rPr>
          <w:sz w:val="26"/>
        </w:rPr>
        <w:t>ю</w:t>
      </w:r>
      <w:r>
        <w:rPr>
          <w:sz w:val="26"/>
        </w:rPr>
        <w:t>тся владельцами железнодорожных путей, а в случае планируемого либо осуществляемого</w:t>
      </w:r>
      <w:r>
        <w:rPr>
          <w:sz w:val="26"/>
        </w:rPr>
        <w:t xml:space="preserve"> </w:t>
      </w:r>
      <w:r>
        <w:rPr>
          <w:sz w:val="26"/>
        </w:rPr>
        <w:t xml:space="preserve">строительства или реконструкции железнодорожных путей </w:t>
      </w:r>
      <w:r>
        <w:rPr>
          <w:sz w:val="26"/>
        </w:rPr>
        <w:t>–</w:t>
      </w:r>
      <w:r>
        <w:rPr>
          <w:sz w:val="26"/>
        </w:rPr>
        <w:t xml:space="preserve"> застройщиком.</w:t>
      </w:r>
      <w:r>
        <w:rPr>
          <w:sz w:val="26"/>
        </w:rPr>
        <w:t xml:space="preserve"> </w:t>
      </w:r>
    </w:p>
    <w:p w14:paraId="1C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При этом в соответствии с пунктом 10.1 статьи 1 </w:t>
      </w:r>
      <w:r>
        <w:rPr>
          <w:sz w:val="26"/>
        </w:rPr>
        <w:t xml:space="preserve">Градостроительного кодекса Российской Федерации (далее – </w:t>
      </w:r>
      <w:r>
        <w:rPr>
          <w:sz w:val="26"/>
        </w:rPr>
        <w:t>ГрК РФ</w:t>
      </w:r>
      <w:r>
        <w:rPr>
          <w:sz w:val="26"/>
        </w:rPr>
        <w:t>)</w:t>
      </w:r>
      <w:r>
        <w:rPr>
          <w:sz w:val="26"/>
        </w:rPr>
        <w:t xml:space="preserve"> железнодорожные линии относятся к линейным объектам. </w:t>
      </w:r>
    </w:p>
    <w:p w14:paraId="1D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Иными словами</w:t>
      </w:r>
      <w:r>
        <w:rPr>
          <w:sz w:val="26"/>
        </w:rPr>
        <w:t>, одно положение проекта акта содержит требование</w:t>
      </w:r>
      <w:r>
        <w:rPr>
          <w:sz w:val="26"/>
        </w:rPr>
        <w:t xml:space="preserve"> о том</w:t>
      </w:r>
      <w:r>
        <w:rPr>
          <w:sz w:val="26"/>
        </w:rPr>
        <w:t xml:space="preserve">, что строительство и реконструкция </w:t>
      </w:r>
      <w:r>
        <w:rPr>
          <w:sz w:val="26"/>
        </w:rPr>
        <w:t xml:space="preserve">линейных объектов </w:t>
      </w:r>
      <w:r>
        <w:rPr>
          <w:sz w:val="26"/>
        </w:rPr>
        <w:t>осуществля</w:t>
      </w:r>
      <w:r>
        <w:rPr>
          <w:sz w:val="26"/>
        </w:rPr>
        <w:t>ю</w:t>
      </w:r>
      <w:r>
        <w:rPr>
          <w:sz w:val="26"/>
        </w:rPr>
        <w:t>тся владельцем железнодорожного пути, а другое</w:t>
      </w:r>
      <w:r>
        <w:rPr>
          <w:sz w:val="26"/>
        </w:rPr>
        <w:t xml:space="preserve"> – о том,</w:t>
      </w:r>
      <w:r>
        <w:rPr>
          <w:sz w:val="26"/>
        </w:rPr>
        <w:t xml:space="preserve"> что это может делать только застройщик. В этой связи представляется </w:t>
      </w:r>
      <w:r>
        <w:rPr>
          <w:sz w:val="26"/>
        </w:rPr>
        <w:t>необходимым привести</w:t>
      </w:r>
      <w:r>
        <w:rPr>
          <w:sz w:val="26"/>
        </w:rPr>
        <w:t xml:space="preserve"> указанн</w:t>
      </w:r>
      <w:r>
        <w:rPr>
          <w:sz w:val="26"/>
        </w:rPr>
        <w:t>ые</w:t>
      </w:r>
      <w:r>
        <w:rPr>
          <w:sz w:val="26"/>
        </w:rPr>
        <w:t xml:space="preserve"> норм</w:t>
      </w:r>
      <w:r>
        <w:rPr>
          <w:sz w:val="26"/>
        </w:rPr>
        <w:t>ы в соответствие</w:t>
      </w:r>
      <w:r>
        <w:rPr>
          <w:sz w:val="26"/>
        </w:rPr>
        <w:t xml:space="preserve">. </w:t>
      </w:r>
    </w:p>
    <w:p w14:paraId="1E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 xml:space="preserve">. </w:t>
      </w:r>
      <w:r>
        <w:rPr>
          <w:sz w:val="26"/>
        </w:rPr>
        <w:t xml:space="preserve">В соответствии с пунктом 3 проекта акта размеры охранных зон устанавливаются в </w:t>
      </w:r>
      <w:r>
        <w:rPr>
          <w:sz w:val="26"/>
        </w:rPr>
        <w:t xml:space="preserve">том числе </w:t>
      </w:r>
      <w:r>
        <w:rPr>
          <w:sz w:val="26"/>
        </w:rPr>
        <w:t>на основании</w:t>
      </w:r>
      <w:r>
        <w:rPr>
          <w:sz w:val="26"/>
        </w:rPr>
        <w:t xml:space="preserve"> проектной документаци</w:t>
      </w:r>
      <w:r>
        <w:rPr>
          <w:sz w:val="26"/>
        </w:rPr>
        <w:t>и</w:t>
      </w:r>
      <w:r>
        <w:rPr>
          <w:sz w:val="26"/>
        </w:rPr>
        <w:t xml:space="preserve">. </w:t>
      </w:r>
    </w:p>
    <w:p w14:paraId="1F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При этом в соответствии с частью 2 статьи 48 </w:t>
      </w:r>
      <w:r>
        <w:rPr>
          <w:sz w:val="26"/>
        </w:rPr>
        <w:t xml:space="preserve">ГрК РФ </w:t>
      </w:r>
      <w:r>
        <w:rPr>
          <w:sz w:val="26"/>
        </w:rPr>
        <w:t xml:space="preserve">проектная документация представляет собой документацию, содержащую материалы в текстовой и графической формах и (или) в форме информационной модели и определяющую архитектурные, функционально-технологические, конструктивные и инженерно-технические решения </w:t>
      </w:r>
      <w:r>
        <w:rPr>
          <w:sz w:val="26"/>
        </w:rPr>
        <w:br/>
      </w:r>
      <w:r>
        <w:rPr>
          <w:sz w:val="26"/>
        </w:rPr>
        <w:t xml:space="preserve">для обеспечения строительства, реконструкции объектов капитального строительства, </w:t>
      </w:r>
      <w:r>
        <w:rPr>
          <w:sz w:val="26"/>
        </w:rPr>
        <w:br/>
      </w:r>
      <w:r>
        <w:rPr>
          <w:sz w:val="26"/>
        </w:rPr>
        <w:t>их частей, капитального ремонта</w:t>
      </w:r>
      <w:r>
        <w:rPr>
          <w:sz w:val="26"/>
        </w:rPr>
        <w:t>.</w:t>
      </w:r>
    </w:p>
    <w:p w14:paraId="20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Содержание проектной документации определено постановлением Правительства Российской Федерации от 16 февраля 2008 г. № 87 «О составе разделов проектной документации и требованиях к их содержанию»</w:t>
      </w:r>
      <w:r>
        <w:rPr>
          <w:sz w:val="26"/>
        </w:rPr>
        <w:t xml:space="preserve">, которым не предусмотрены </w:t>
      </w:r>
      <w:r>
        <w:rPr>
          <w:sz w:val="26"/>
        </w:rPr>
        <w:t xml:space="preserve">положения </w:t>
      </w:r>
      <w:r>
        <w:rPr>
          <w:sz w:val="26"/>
        </w:rPr>
        <w:br/>
      </w:r>
      <w:r>
        <w:rPr>
          <w:sz w:val="26"/>
        </w:rPr>
        <w:t xml:space="preserve">об </w:t>
      </w:r>
      <w:r>
        <w:rPr>
          <w:sz w:val="26"/>
        </w:rPr>
        <w:t>охранны</w:t>
      </w:r>
      <w:r>
        <w:rPr>
          <w:sz w:val="26"/>
        </w:rPr>
        <w:t>х</w:t>
      </w:r>
      <w:r>
        <w:rPr>
          <w:sz w:val="26"/>
        </w:rPr>
        <w:t xml:space="preserve"> зон</w:t>
      </w:r>
      <w:r>
        <w:rPr>
          <w:sz w:val="26"/>
        </w:rPr>
        <w:t>ах</w:t>
      </w:r>
      <w:r>
        <w:rPr>
          <w:sz w:val="26"/>
        </w:rPr>
        <w:t xml:space="preserve"> железных дорог</w:t>
      </w:r>
      <w:r>
        <w:rPr>
          <w:sz w:val="26"/>
        </w:rPr>
        <w:t xml:space="preserve">. </w:t>
      </w:r>
      <w:r>
        <w:rPr>
          <w:sz w:val="26"/>
        </w:rPr>
        <w:t xml:space="preserve">Следовательно, </w:t>
      </w:r>
      <w:r>
        <w:rPr>
          <w:sz w:val="26"/>
        </w:rPr>
        <w:t xml:space="preserve">размеры </w:t>
      </w:r>
      <w:r>
        <w:rPr>
          <w:sz w:val="26"/>
        </w:rPr>
        <w:t>охранны</w:t>
      </w:r>
      <w:r>
        <w:rPr>
          <w:sz w:val="26"/>
        </w:rPr>
        <w:t>х</w:t>
      </w:r>
      <w:r>
        <w:rPr>
          <w:sz w:val="26"/>
        </w:rPr>
        <w:t xml:space="preserve"> зон </w:t>
      </w:r>
      <w:r>
        <w:rPr>
          <w:sz w:val="26"/>
        </w:rPr>
        <w:t xml:space="preserve">железных дорог </w:t>
      </w:r>
      <w:r>
        <w:rPr>
          <w:sz w:val="26"/>
        </w:rPr>
        <w:t xml:space="preserve">не могут быть </w:t>
      </w:r>
      <w:r>
        <w:rPr>
          <w:sz w:val="26"/>
        </w:rPr>
        <w:t>установлены</w:t>
      </w:r>
      <w:r>
        <w:rPr>
          <w:sz w:val="26"/>
        </w:rPr>
        <w:t xml:space="preserve"> </w:t>
      </w:r>
      <w:r>
        <w:rPr>
          <w:sz w:val="26"/>
        </w:rPr>
        <w:t>на основании</w:t>
      </w:r>
      <w:r>
        <w:rPr>
          <w:sz w:val="26"/>
        </w:rPr>
        <w:t xml:space="preserve"> проектной документации.</w:t>
      </w:r>
    </w:p>
    <w:p w14:paraId="21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Кроме того, проектом акта не раскрывается ситуация установления охранных зон </w:t>
      </w:r>
      <w:r>
        <w:rPr>
          <w:sz w:val="26"/>
        </w:rPr>
        <w:br/>
      </w:r>
      <w:r>
        <w:rPr>
          <w:sz w:val="26"/>
        </w:rPr>
        <w:t xml:space="preserve">для уже существующих объектов, в том числе в случае, если проектная документация </w:t>
      </w:r>
      <w:r>
        <w:rPr>
          <w:sz w:val="26"/>
        </w:rPr>
        <w:br/>
      </w:r>
      <w:r>
        <w:rPr>
          <w:sz w:val="26"/>
        </w:rPr>
        <w:t xml:space="preserve">у владельцев таких объектов отсутствует. </w:t>
      </w:r>
    </w:p>
    <w:p w14:paraId="22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На основании вышеизложенного, а также исходя из того, что охранные зоны устанавливаются в целях обеспечения сохранности, прочности и устойчивости железнодорожных путей, представляется достаточным при установлении границ таких зон опираться прежде всего на природные условия местности, необходимость создания защиты инфраструктуры железнодорожного транспорта от негативного воздействия</w:t>
      </w:r>
      <w:r>
        <w:rPr>
          <w:sz w:val="26"/>
        </w:rPr>
        <w:t xml:space="preserve">, а также </w:t>
      </w:r>
      <w:r>
        <w:rPr>
          <w:sz w:val="26"/>
        </w:rPr>
        <w:t xml:space="preserve">защиты </w:t>
      </w:r>
      <w:r>
        <w:rPr>
          <w:sz w:val="26"/>
        </w:rPr>
        <w:t>жизни и здоровья населения</w:t>
      </w:r>
      <w:r>
        <w:rPr>
          <w:sz w:val="26"/>
        </w:rPr>
        <w:t>.</w:t>
      </w:r>
    </w:p>
    <w:p w14:paraId="23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 Пунктом 6 проекта акта устанавливаются требования к опознавательным знакам охранной зоны, а именно </w:t>
      </w:r>
      <w:r>
        <w:rPr>
          <w:sz w:val="26"/>
        </w:rPr>
        <w:t xml:space="preserve">необходимость </w:t>
      </w:r>
      <w:r>
        <w:rPr>
          <w:sz w:val="26"/>
        </w:rPr>
        <w:t>их расположени</w:t>
      </w:r>
      <w:r>
        <w:rPr>
          <w:sz w:val="26"/>
        </w:rPr>
        <w:t>я</w:t>
      </w:r>
      <w:r>
        <w:rPr>
          <w:sz w:val="26"/>
        </w:rPr>
        <w:t xml:space="preserve"> не реже, чем через 500 метров. Аналогичные требования установлены, например, для трасс подземных газопроводов</w:t>
      </w:r>
      <w:r>
        <w:rPr>
          <w:sz w:val="26"/>
        </w:rPr>
        <w:t>.</w:t>
      </w:r>
    </w:p>
    <w:p w14:paraId="24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Учитывая, что в соответствии </w:t>
      </w:r>
      <w:r>
        <w:rPr>
          <w:sz w:val="26"/>
        </w:rPr>
        <w:t>с</w:t>
      </w:r>
      <w:r>
        <w:rPr>
          <w:sz w:val="26"/>
        </w:rPr>
        <w:t xml:space="preserve"> пунктом </w:t>
      </w:r>
      <w:r>
        <w:rPr>
          <w:sz w:val="26"/>
        </w:rPr>
        <w:t>3.1 проекта акта</w:t>
      </w:r>
      <w:r>
        <w:rPr>
          <w:sz w:val="26"/>
        </w:rPr>
        <w:t xml:space="preserve"> </w:t>
      </w:r>
      <w:r>
        <w:rPr>
          <w:sz w:val="26"/>
        </w:rPr>
        <w:t>охранные зоны устанавливаются в случае прохождения железнодорожных путей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например, </w:t>
      </w:r>
      <w:r>
        <w:rPr>
          <w:sz w:val="26"/>
        </w:rPr>
        <w:t xml:space="preserve">по лесам, выполняющим функции защитных лесонасаждений, можно предположить, что уровень риска </w:t>
      </w:r>
      <w:r>
        <w:rPr>
          <w:sz w:val="26"/>
        </w:rPr>
        <w:t xml:space="preserve">негативного </w:t>
      </w:r>
      <w:r>
        <w:rPr>
          <w:sz w:val="26"/>
        </w:rPr>
        <w:t xml:space="preserve">воздействия </w:t>
      </w:r>
      <w:r>
        <w:rPr>
          <w:sz w:val="26"/>
        </w:rPr>
        <w:t xml:space="preserve">инфраструктуры железнодорожного транспорта </w:t>
      </w:r>
      <w:r>
        <w:rPr>
          <w:sz w:val="26"/>
        </w:rPr>
        <w:t>на людей</w:t>
      </w:r>
      <w:r>
        <w:rPr>
          <w:sz w:val="26"/>
        </w:rPr>
        <w:t xml:space="preserve"> может оказаться ниже, чем при расположении трасс подземных газопроводов. </w:t>
      </w:r>
      <w:r>
        <w:rPr>
          <w:sz w:val="26"/>
        </w:rPr>
        <w:t xml:space="preserve">Полагаем, </w:t>
      </w:r>
      <w:r>
        <w:rPr>
          <w:sz w:val="26"/>
        </w:rPr>
        <w:br/>
      </w:r>
      <w:r>
        <w:rPr>
          <w:sz w:val="26"/>
        </w:rPr>
        <w:t xml:space="preserve">что </w:t>
      </w:r>
      <w:r>
        <w:rPr>
          <w:sz w:val="26"/>
        </w:rPr>
        <w:t xml:space="preserve">требования </w:t>
      </w:r>
      <w:r>
        <w:rPr>
          <w:sz w:val="26"/>
        </w:rPr>
        <w:t>к расстоянию могут</w:t>
      </w:r>
      <w:r>
        <w:rPr>
          <w:sz w:val="26"/>
        </w:rPr>
        <w:t xml:space="preserve"> учитывать степень риска негативного воздействия</w:t>
      </w:r>
      <w:r>
        <w:rPr>
          <w:sz w:val="26"/>
        </w:rPr>
        <w:t xml:space="preserve"> </w:t>
      </w:r>
      <w:r>
        <w:rPr>
          <w:sz w:val="26"/>
        </w:rPr>
        <w:br/>
      </w:r>
      <w:r>
        <w:rPr>
          <w:sz w:val="26"/>
        </w:rPr>
        <w:t>в таких случаях и устанавливаться с его учетом</w:t>
      </w:r>
      <w:r>
        <w:rPr>
          <w:sz w:val="26"/>
        </w:rPr>
        <w:t>.</w:t>
      </w:r>
    </w:p>
    <w:p w14:paraId="25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Кроме того, в соответствии с разделом 11 сводного отчета разработчиком подтверждено, что предлагаемое регулирование не повлечет расходов субъектов предпринимательской деятельности, однако при этом не учтены затраты на приобретение </w:t>
      </w:r>
      <w:r>
        <w:rPr>
          <w:sz w:val="26"/>
        </w:rPr>
        <w:br/>
      </w:r>
      <w:r>
        <w:rPr>
          <w:sz w:val="26"/>
        </w:rPr>
        <w:t xml:space="preserve">и установку опознавательных знаков. </w:t>
      </w:r>
      <w:r>
        <w:rPr>
          <w:sz w:val="26"/>
        </w:rPr>
        <w:t>Так</w:t>
      </w:r>
      <w:r>
        <w:rPr>
          <w:sz w:val="26"/>
        </w:rPr>
        <w:t xml:space="preserve">, стоимость опознавательного знака </w:t>
      </w:r>
      <w:r>
        <w:rPr>
          <w:sz w:val="26"/>
        </w:rPr>
        <w:br/>
      </w:r>
      <w:r>
        <w:rPr>
          <w:sz w:val="26"/>
        </w:rPr>
        <w:t>на столбике может составить порядка 500 рублей</w:t>
      </w:r>
      <w:r>
        <w:rPr>
          <w:sz w:val="26"/>
        </w:rPr>
        <w:t>. Таким образом,</w:t>
      </w:r>
      <w:r>
        <w:rPr>
          <w:sz w:val="26"/>
        </w:rPr>
        <w:t xml:space="preserve"> на каждые 100 км железнодорожных путей потребуется порядка 100 тысяч рублей</w:t>
      </w:r>
      <w:r>
        <w:rPr>
          <w:sz w:val="26"/>
        </w:rPr>
        <w:t xml:space="preserve"> без учета стоимости установки, а </w:t>
      </w:r>
      <w:r>
        <w:rPr>
          <w:sz w:val="26"/>
        </w:rPr>
        <w:t xml:space="preserve">учитывая планируемую протяженность скоростных и высокоскоростных магистралей к 2030 году в 11,3 тысяч километров, стоимость оборудования только этих участков составит 11,3 </w:t>
      </w:r>
      <w:r>
        <w:rPr>
          <w:sz w:val="26"/>
        </w:rPr>
        <w:t>миллиона</w:t>
      </w:r>
      <w:r>
        <w:rPr>
          <w:sz w:val="26"/>
        </w:rPr>
        <w:t xml:space="preserve"> рублей.</w:t>
      </w:r>
    </w:p>
    <w:p w14:paraId="26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Вместе с тем отмечаем, что представленная формулировка пункта 6 проекта акта </w:t>
      </w:r>
      <w:r>
        <w:rPr>
          <w:sz w:val="26"/>
        </w:rPr>
        <w:br/>
      </w:r>
      <w:r>
        <w:rPr>
          <w:sz w:val="26"/>
        </w:rPr>
        <w:t>не позволяет однозначно определить, какие знаки до</w:t>
      </w:r>
      <w:r>
        <w:rPr>
          <w:sz w:val="26"/>
        </w:rPr>
        <w:t xml:space="preserve">лжны быть установлены: размером, предполагающим высоту знака </w:t>
      </w:r>
      <w:r>
        <w:rPr>
          <w:sz w:val="26"/>
        </w:rPr>
        <w:t xml:space="preserve">не менее 1,5 метров, или </w:t>
      </w:r>
      <w:r>
        <w:rPr>
          <w:sz w:val="26"/>
        </w:rPr>
        <w:t xml:space="preserve">знаки </w:t>
      </w:r>
      <w:r>
        <w:rPr>
          <w:sz w:val="26"/>
        </w:rPr>
        <w:t xml:space="preserve">могут быть любого размера, но </w:t>
      </w:r>
      <w:r>
        <w:rPr>
          <w:sz w:val="26"/>
        </w:rPr>
        <w:t xml:space="preserve">располагаться </w:t>
      </w:r>
      <w:r>
        <w:rPr>
          <w:sz w:val="26"/>
        </w:rPr>
        <w:t>на высоте не менее 1,5 метров от поверхности земли. Считаем целесообразным конкретизировать формулировку указанного пункта.</w:t>
      </w:r>
    </w:p>
    <w:p w14:paraId="27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Отдельно отмечаем, что проектом акта не предусмотрен переходный период. Вместе с тем, учитывая затраты субъектов предпринимательской деятельности, представляется необходимым установить переходный период как минимум </w:t>
      </w:r>
      <w:r>
        <w:rPr>
          <w:sz w:val="26"/>
        </w:rPr>
        <w:t>по</w:t>
      </w:r>
      <w:r>
        <w:rPr>
          <w:sz w:val="26"/>
        </w:rPr>
        <w:t xml:space="preserve"> указанному </w:t>
      </w:r>
      <w:r>
        <w:rPr>
          <w:sz w:val="26"/>
        </w:rPr>
        <w:t xml:space="preserve">положению </w:t>
      </w:r>
      <w:r>
        <w:rPr>
          <w:sz w:val="26"/>
        </w:rPr>
        <w:br/>
      </w:r>
      <w:r>
        <w:rPr>
          <w:sz w:val="26"/>
        </w:rPr>
        <w:t>не менее 6 месяцев</w:t>
      </w:r>
      <w:r>
        <w:rPr>
          <w:sz w:val="26"/>
        </w:rPr>
        <w:t>.</w:t>
      </w:r>
    </w:p>
    <w:p w14:paraId="28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>5</w:t>
      </w:r>
      <w:r>
        <w:rPr>
          <w:sz w:val="26"/>
        </w:rPr>
        <w:t>.</w:t>
      </w:r>
      <w:r>
        <w:rPr>
          <w:sz w:val="26"/>
        </w:rPr>
        <w:t xml:space="preserve"> Кроме того, </w:t>
      </w:r>
      <w:r>
        <w:rPr>
          <w:sz w:val="26"/>
        </w:rPr>
        <w:t xml:space="preserve">формулировка </w:t>
      </w:r>
      <w:r>
        <w:rPr>
          <w:sz w:val="26"/>
        </w:rPr>
        <w:t>пункт</w:t>
      </w:r>
      <w:r>
        <w:rPr>
          <w:sz w:val="26"/>
        </w:rPr>
        <w:t>а</w:t>
      </w:r>
      <w:r>
        <w:rPr>
          <w:sz w:val="26"/>
        </w:rPr>
        <w:t xml:space="preserve"> 5.1 проекта акта</w:t>
      </w:r>
      <w:r>
        <w:rPr>
          <w:sz w:val="26"/>
        </w:rPr>
        <w:t xml:space="preserve"> о том, что строительство, проведение реконструкции, капитального ремонта объектов капитального строительства </w:t>
      </w:r>
      <w:r>
        <w:rPr>
          <w:sz w:val="26"/>
        </w:rPr>
        <w:br/>
      </w:r>
      <w:r>
        <w:rPr>
          <w:sz w:val="26"/>
        </w:rPr>
        <w:t xml:space="preserve">и линейных объектов в охранных зонах осуществляются непосредственно владельцами железнодорожных путей либо застройщиками </w:t>
      </w:r>
      <w:r>
        <w:rPr>
          <w:sz w:val="26"/>
        </w:rPr>
        <w:t xml:space="preserve">или </w:t>
      </w:r>
      <w:r>
        <w:rPr>
          <w:sz w:val="26"/>
        </w:rPr>
        <w:t>правообладателями данных объектов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 ограничивает участие третьих</w:t>
      </w:r>
      <w:r>
        <w:rPr>
          <w:sz w:val="26"/>
        </w:rPr>
        <w:t xml:space="preserve"> лиц </w:t>
      </w:r>
      <w:r>
        <w:rPr>
          <w:sz w:val="26"/>
        </w:rPr>
        <w:t xml:space="preserve">в строительстве, проведении реконструкции, капитального ремонта объектов капитального строительства и линейных объектов </w:t>
      </w:r>
      <w:r>
        <w:rPr>
          <w:sz w:val="26"/>
        </w:rPr>
        <w:br/>
      </w:r>
      <w:r>
        <w:rPr>
          <w:sz w:val="26"/>
        </w:rPr>
        <w:t>в охранных зонах, в том числе и по договор</w:t>
      </w:r>
      <w:r>
        <w:rPr>
          <w:sz w:val="26"/>
        </w:rPr>
        <w:t>у</w:t>
      </w:r>
      <w:r>
        <w:rPr>
          <w:sz w:val="26"/>
        </w:rPr>
        <w:t xml:space="preserve">. </w:t>
      </w:r>
    </w:p>
    <w:p w14:paraId="29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>Учитывая, что действующим законодательством такое ограничение не предусмотрено, представляется необходимым исключить его из проекта акта</w:t>
      </w:r>
      <w:r>
        <w:rPr>
          <w:sz w:val="26"/>
        </w:rPr>
        <w:t>.</w:t>
      </w:r>
      <w:r>
        <w:rPr>
          <w:sz w:val="26"/>
        </w:rPr>
        <w:t xml:space="preserve"> </w:t>
      </w:r>
    </w:p>
    <w:p w14:paraId="2A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>6</w:t>
      </w:r>
      <w:r>
        <w:rPr>
          <w:sz w:val="26"/>
        </w:rPr>
        <w:t>. В соответствии с проектом акта заинтересованными организациями являются владельцы железнодорожн</w:t>
      </w:r>
      <w:r>
        <w:rPr>
          <w:sz w:val="26"/>
        </w:rPr>
        <w:t>ых путей</w:t>
      </w:r>
      <w:r>
        <w:rPr>
          <w:sz w:val="26"/>
        </w:rPr>
        <w:t xml:space="preserve">. В соответствии с пунктом 8.1 заявление </w:t>
      </w:r>
      <w:r>
        <w:rPr>
          <w:sz w:val="26"/>
        </w:rPr>
        <w:br/>
      </w:r>
      <w:r>
        <w:rPr>
          <w:sz w:val="26"/>
        </w:rPr>
        <w:t>об установлении, изменении, прекращении существования охранных зон должно содержать наименование заинтересованной организации</w:t>
      </w:r>
      <w:r>
        <w:rPr>
          <w:sz w:val="26"/>
        </w:rPr>
        <w:t>, т</w:t>
      </w:r>
      <w:r>
        <w:rPr>
          <w:sz w:val="26"/>
        </w:rPr>
        <w:t>о есть заявление могут подать только владельцы железнодорожн</w:t>
      </w:r>
      <w:r>
        <w:rPr>
          <w:sz w:val="26"/>
        </w:rPr>
        <w:t>ых путей</w:t>
      </w:r>
      <w:r>
        <w:rPr>
          <w:sz w:val="26"/>
        </w:rPr>
        <w:t>.</w:t>
      </w:r>
    </w:p>
    <w:p w14:paraId="2B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>Вместе с тем</w:t>
      </w:r>
      <w:r>
        <w:rPr>
          <w:sz w:val="26"/>
        </w:rPr>
        <w:t xml:space="preserve"> в соответствии с пунктом 7 проекта акта правом на подачу заявления </w:t>
      </w:r>
      <w:r>
        <w:rPr>
          <w:sz w:val="26"/>
        </w:rPr>
        <w:br/>
      </w:r>
      <w:r>
        <w:rPr>
          <w:sz w:val="26"/>
        </w:rPr>
        <w:t xml:space="preserve">об установлении, изменении, прекращении существования охранных зон обладают заинтересованные организации, а в случае планируемого либо осуществляемого строительства или реконструкции железнодорожных путей </w:t>
      </w:r>
      <w:r>
        <w:rPr>
          <w:sz w:val="26"/>
        </w:rPr>
        <w:t>–</w:t>
      </w:r>
      <w:r>
        <w:rPr>
          <w:sz w:val="26"/>
        </w:rPr>
        <w:t xml:space="preserve"> застройщик.</w:t>
      </w:r>
    </w:p>
    <w:p w14:paraId="2C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 xml:space="preserve">Таким образом, считаем необходимым привести </w:t>
      </w:r>
      <w:r>
        <w:rPr>
          <w:sz w:val="26"/>
        </w:rPr>
        <w:t xml:space="preserve">указанные </w:t>
      </w:r>
      <w:r>
        <w:rPr>
          <w:sz w:val="26"/>
        </w:rPr>
        <w:t xml:space="preserve">положения проекта акта </w:t>
      </w:r>
      <w:r>
        <w:rPr>
          <w:sz w:val="26"/>
        </w:rPr>
        <w:br/>
      </w:r>
      <w:r>
        <w:rPr>
          <w:sz w:val="26"/>
        </w:rPr>
        <w:t>в соответствие</w:t>
      </w:r>
      <w:r>
        <w:rPr>
          <w:sz w:val="26"/>
        </w:rPr>
        <w:t xml:space="preserve"> друг другу</w:t>
      </w:r>
      <w:r>
        <w:rPr>
          <w:sz w:val="26"/>
        </w:rPr>
        <w:t>.</w:t>
      </w:r>
    </w:p>
    <w:p w14:paraId="2D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>7</w:t>
      </w:r>
      <w:r>
        <w:rPr>
          <w:sz w:val="26"/>
        </w:rPr>
        <w:t xml:space="preserve">. В соответствии с пунктом 11 проекта акта в </w:t>
      </w:r>
      <w:r>
        <w:rPr>
          <w:sz w:val="26"/>
        </w:rPr>
        <w:t xml:space="preserve">случае планируемого строительства железнодорожного пути, в случае реконструкции железнодорожного пути застройщик </w:t>
      </w:r>
      <w:r>
        <w:rPr>
          <w:sz w:val="26"/>
        </w:rPr>
        <w:br/>
      </w:r>
      <w:r>
        <w:rPr>
          <w:sz w:val="26"/>
        </w:rPr>
        <w:t xml:space="preserve">до дня обращения на выдачу разрешений на строительство должен обратиться с заявлением об установлении или изменении охранной зоны. </w:t>
      </w:r>
    </w:p>
    <w:p w14:paraId="2E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 xml:space="preserve">Следует отметить, что строительство объектов железнодорожного транспорта может осуществляться только после выдачи разрешения на строительство. </w:t>
      </w:r>
      <w:r>
        <w:rPr>
          <w:sz w:val="26"/>
        </w:rPr>
        <w:t>О</w:t>
      </w:r>
      <w:r>
        <w:rPr>
          <w:sz w:val="26"/>
        </w:rPr>
        <w:t xml:space="preserve">бращение на выдачу разрешения на строительство не гарантирует выдачу такого разрешения. В этой связи подача заявления на установление охранной зоны </w:t>
      </w:r>
      <w:r>
        <w:rPr>
          <w:sz w:val="26"/>
        </w:rPr>
        <w:t>представ</w:t>
      </w:r>
      <w:r>
        <w:rPr>
          <w:sz w:val="26"/>
        </w:rPr>
        <w:t xml:space="preserve">ляется </w:t>
      </w:r>
      <w:r>
        <w:rPr>
          <w:sz w:val="26"/>
        </w:rPr>
        <w:t>преждевременн</w:t>
      </w:r>
      <w:r>
        <w:rPr>
          <w:sz w:val="26"/>
        </w:rPr>
        <w:t>ым</w:t>
      </w:r>
      <w:r>
        <w:rPr>
          <w:sz w:val="26"/>
        </w:rPr>
        <w:t>.</w:t>
      </w:r>
    </w:p>
    <w:p w14:paraId="2F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 xml:space="preserve">Кроме того, застройщик должен для подачи заявления на установление, изменение границ охранной зоны указать информацию, поименованную в пункте 8 проекта акта, </w:t>
      </w:r>
      <w:r>
        <w:rPr>
          <w:sz w:val="26"/>
        </w:rPr>
        <w:br/>
      </w:r>
      <w:r>
        <w:rPr>
          <w:sz w:val="26"/>
        </w:rPr>
        <w:t>а именно:</w:t>
      </w:r>
    </w:p>
    <w:p w14:paraId="30000000">
      <w:pPr>
        <w:pStyle w:val="Style_2"/>
        <w:numPr>
          <w:ilvl w:val="0"/>
          <w:numId w:val="1"/>
        </w:numPr>
        <w:spacing w:line="348" w:lineRule="auto"/>
        <w:ind/>
        <w:contextualSpacing w:val="0"/>
        <w:jc w:val="both"/>
        <w:rPr>
          <w:sz w:val="26"/>
        </w:rPr>
      </w:pPr>
      <w:r>
        <w:rPr>
          <w:sz w:val="26"/>
        </w:rPr>
        <w:t>наименование заинтересованной организации;</w:t>
      </w:r>
    </w:p>
    <w:p w14:paraId="31000000">
      <w:pPr>
        <w:pStyle w:val="Style_2"/>
        <w:numPr>
          <w:ilvl w:val="0"/>
          <w:numId w:val="1"/>
        </w:numPr>
        <w:spacing w:line="348" w:lineRule="auto"/>
        <w:ind/>
        <w:contextualSpacing w:val="0"/>
        <w:jc w:val="both"/>
        <w:rPr>
          <w:sz w:val="26"/>
        </w:rPr>
      </w:pPr>
      <w:r>
        <w:rPr>
          <w:sz w:val="26"/>
        </w:rPr>
        <w:t xml:space="preserve">наименование железнодорожного пути и данные о месте </w:t>
      </w:r>
      <w:r>
        <w:rPr>
          <w:sz w:val="26"/>
        </w:rPr>
        <w:t xml:space="preserve">его </w:t>
      </w:r>
      <w:r>
        <w:rPr>
          <w:sz w:val="26"/>
        </w:rPr>
        <w:t>нахождения</w:t>
      </w:r>
      <w:r>
        <w:rPr>
          <w:sz w:val="26"/>
        </w:rPr>
        <w:t>;</w:t>
      </w:r>
    </w:p>
    <w:p w14:paraId="32000000">
      <w:pPr>
        <w:pStyle w:val="Style_2"/>
        <w:numPr>
          <w:ilvl w:val="0"/>
          <w:numId w:val="1"/>
        </w:numPr>
        <w:spacing w:line="348" w:lineRule="auto"/>
        <w:ind/>
        <w:contextualSpacing w:val="0"/>
        <w:jc w:val="both"/>
        <w:rPr>
          <w:sz w:val="26"/>
        </w:rPr>
      </w:pPr>
      <w:r>
        <w:rPr>
          <w:sz w:val="26"/>
        </w:rPr>
        <w:t>сведения о правах заинтересованной организации в отношении</w:t>
      </w:r>
      <w:r>
        <w:rPr>
          <w:sz w:val="26"/>
        </w:rPr>
        <w:t xml:space="preserve"> </w:t>
      </w:r>
      <w:r>
        <w:rPr>
          <w:sz w:val="26"/>
        </w:rPr>
        <w:t>железнодорожного пути;</w:t>
      </w:r>
    </w:p>
    <w:p w14:paraId="33000000">
      <w:pPr>
        <w:pStyle w:val="Style_2"/>
        <w:numPr>
          <w:ilvl w:val="0"/>
          <w:numId w:val="1"/>
        </w:numPr>
        <w:spacing w:line="348" w:lineRule="auto"/>
        <w:ind/>
        <w:contextualSpacing w:val="0"/>
        <w:jc w:val="both"/>
        <w:rPr>
          <w:sz w:val="26"/>
        </w:rPr>
      </w:pPr>
      <w:r>
        <w:rPr>
          <w:sz w:val="26"/>
        </w:rPr>
        <w:t>описание местоположения границ охранной зоны, сведения о границах</w:t>
      </w:r>
      <w:r>
        <w:rPr>
          <w:sz w:val="26"/>
        </w:rPr>
        <w:t xml:space="preserve"> </w:t>
      </w:r>
      <w:r>
        <w:rPr>
          <w:sz w:val="26"/>
        </w:rPr>
        <w:t>охранной зоны</w:t>
      </w:r>
      <w:r>
        <w:rPr>
          <w:sz w:val="26"/>
        </w:rPr>
        <w:t>.</w:t>
      </w:r>
    </w:p>
    <w:p w14:paraId="34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 xml:space="preserve">Во-первых, </w:t>
      </w:r>
      <w:r>
        <w:rPr>
          <w:sz w:val="26"/>
        </w:rPr>
        <w:t xml:space="preserve">учитывая замечание </w:t>
      </w:r>
      <w:r>
        <w:rPr>
          <w:sz w:val="26"/>
        </w:rPr>
        <w:t>6</w:t>
      </w:r>
      <w:r>
        <w:rPr>
          <w:sz w:val="26"/>
        </w:rPr>
        <w:t xml:space="preserve"> настоящего заключения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застройщик, не являясь заинтересованной организацией</w:t>
      </w:r>
      <w:r>
        <w:rPr>
          <w:sz w:val="26"/>
        </w:rPr>
        <w:t>,</w:t>
      </w:r>
      <w:r>
        <w:rPr>
          <w:sz w:val="26"/>
        </w:rPr>
        <w:t xml:space="preserve"> не сможет предоставить указанную информацию в полном объеме.</w:t>
      </w:r>
    </w:p>
    <w:p w14:paraId="35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 xml:space="preserve">Во-вторых, до получения разрешения на строительство и ввода в эксплуатацию железнодорожного пути не представляется возможным указать информацию </w:t>
      </w:r>
      <w:r>
        <w:rPr>
          <w:sz w:val="26"/>
        </w:rPr>
        <w:br/>
      </w:r>
      <w:r>
        <w:rPr>
          <w:sz w:val="26"/>
        </w:rPr>
        <w:t xml:space="preserve">о наименовании, местонахождении пути, а также о правах в отношении пути, </w:t>
      </w:r>
      <w:r>
        <w:rPr>
          <w:sz w:val="26"/>
        </w:rPr>
        <w:br/>
      </w:r>
      <w:r>
        <w:rPr>
          <w:sz w:val="26"/>
        </w:rPr>
        <w:t xml:space="preserve">так как </w:t>
      </w:r>
      <w:r>
        <w:rPr>
          <w:sz w:val="26"/>
        </w:rPr>
        <w:t xml:space="preserve">формально </w:t>
      </w:r>
      <w:r>
        <w:rPr>
          <w:sz w:val="26"/>
        </w:rPr>
        <w:t xml:space="preserve">правообладатель и сам железнодорожный путь </w:t>
      </w:r>
      <w:r>
        <w:rPr>
          <w:sz w:val="26"/>
        </w:rPr>
        <w:t>не могут быть определены</w:t>
      </w:r>
      <w:r>
        <w:rPr>
          <w:sz w:val="26"/>
        </w:rPr>
        <w:t xml:space="preserve"> до момента создания</w:t>
      </w:r>
      <w:r>
        <w:rPr>
          <w:sz w:val="26"/>
        </w:rPr>
        <w:t xml:space="preserve"> объекта</w:t>
      </w:r>
      <w:r>
        <w:rPr>
          <w:sz w:val="26"/>
        </w:rPr>
        <w:t>.</w:t>
      </w:r>
    </w:p>
    <w:p w14:paraId="36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>На основании вышеизложенного отмечаем, что требование по установлению</w:t>
      </w:r>
      <w:r>
        <w:rPr>
          <w:sz w:val="26"/>
        </w:rPr>
        <w:t>, изменению</w:t>
      </w:r>
      <w:r>
        <w:rPr>
          <w:sz w:val="26"/>
        </w:rPr>
        <w:t xml:space="preserve"> охранной зоны до получения разрешения на строительство является избыточным.</w:t>
      </w:r>
    </w:p>
    <w:p w14:paraId="37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8</w:t>
      </w:r>
      <w:r>
        <w:rPr>
          <w:sz w:val="26"/>
        </w:rPr>
        <w:t xml:space="preserve">. </w:t>
      </w:r>
      <w:r>
        <w:rPr>
          <w:sz w:val="26"/>
        </w:rPr>
        <w:t>В</w:t>
      </w:r>
      <w:r>
        <w:rPr>
          <w:sz w:val="26"/>
        </w:rPr>
        <w:t xml:space="preserve"> соответствии с пунктом 2 проекта акта основани</w:t>
      </w:r>
      <w:r>
        <w:rPr>
          <w:sz w:val="26"/>
        </w:rPr>
        <w:t xml:space="preserve">ями </w:t>
      </w:r>
      <w:r>
        <w:rPr>
          <w:sz w:val="26"/>
        </w:rPr>
        <w:t xml:space="preserve">для установления охранной зоны </w:t>
      </w:r>
      <w:r>
        <w:rPr>
          <w:sz w:val="26"/>
        </w:rPr>
        <w:t>являются</w:t>
      </w:r>
      <w:r>
        <w:rPr>
          <w:sz w:val="26"/>
        </w:rPr>
        <w:t>:</w:t>
      </w:r>
    </w:p>
    <w:p w14:paraId="38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а)</w:t>
      </w:r>
      <w:r>
        <w:rPr>
          <w:sz w:val="26"/>
        </w:rPr>
        <w:t> </w:t>
      </w:r>
      <w:r>
        <w:rPr>
          <w:sz w:val="26"/>
        </w:rPr>
        <w:t>движение по железнодорожным путям скоростных и высокоскоростных поездов</w:t>
      </w:r>
      <w:r>
        <w:rPr>
          <w:sz w:val="26"/>
        </w:rPr>
        <w:t>;</w:t>
      </w:r>
    </w:p>
    <w:p w14:paraId="39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б)</w:t>
      </w:r>
      <w:r>
        <w:rPr>
          <w:sz w:val="26"/>
        </w:rPr>
        <w:t> </w:t>
      </w:r>
      <w:r>
        <w:rPr>
          <w:sz w:val="26"/>
        </w:rPr>
        <w:t xml:space="preserve">прохождение участков железнодорожных путей, прилегающих с обеих сторон </w:t>
      </w:r>
      <w:r>
        <w:rPr>
          <w:sz w:val="26"/>
        </w:rPr>
        <w:br/>
      </w:r>
      <w:r>
        <w:rPr>
          <w:sz w:val="26"/>
        </w:rPr>
        <w:t xml:space="preserve">к полосе отвода железных дорог, по следующим </w:t>
      </w:r>
      <w:r>
        <w:rPr>
          <w:sz w:val="26"/>
        </w:rPr>
        <w:t>участкам</w:t>
      </w:r>
      <w:r>
        <w:rPr>
          <w:sz w:val="26"/>
        </w:rPr>
        <w:t>:</w:t>
      </w:r>
    </w:p>
    <w:p w14:paraId="3A000000">
      <w:pPr>
        <w:pStyle w:val="Style_2"/>
        <w:numPr>
          <w:ilvl w:val="0"/>
          <w:numId w:val="2"/>
        </w:numPr>
        <w:spacing w:line="348" w:lineRule="auto"/>
        <w:ind/>
        <w:jc w:val="both"/>
        <w:rPr>
          <w:sz w:val="26"/>
        </w:rPr>
      </w:pPr>
      <w:r>
        <w:rPr>
          <w:sz w:val="26"/>
        </w:rPr>
        <w:t>по</w:t>
      </w:r>
      <w:r>
        <w:rPr>
          <w:sz w:val="26"/>
        </w:rPr>
        <w:t xml:space="preserve"> земельны</w:t>
      </w:r>
      <w:r>
        <w:rPr>
          <w:sz w:val="26"/>
        </w:rPr>
        <w:t>м</w:t>
      </w:r>
      <w:r>
        <w:rPr>
          <w:sz w:val="26"/>
        </w:rPr>
        <w:t xml:space="preserve"> участка</w:t>
      </w:r>
      <w:r>
        <w:rPr>
          <w:sz w:val="26"/>
        </w:rPr>
        <w:t>м</w:t>
      </w:r>
      <w:r>
        <w:rPr>
          <w:sz w:val="26"/>
        </w:rPr>
        <w:t>, подверженны</w:t>
      </w:r>
      <w:r>
        <w:rPr>
          <w:sz w:val="26"/>
        </w:rPr>
        <w:t>м</w:t>
      </w:r>
      <w:r>
        <w:rPr>
          <w:sz w:val="26"/>
        </w:rPr>
        <w:t xml:space="preserve"> снежным обвалам (лавинам), оползням, размывам, селевым потокам, оврагообразованию, карстообразованию и другим опасным геологическим воздействиям;</w:t>
      </w:r>
    </w:p>
    <w:p w14:paraId="3B000000">
      <w:pPr>
        <w:pStyle w:val="Style_2"/>
        <w:numPr>
          <w:ilvl w:val="0"/>
          <w:numId w:val="2"/>
        </w:numPr>
        <w:spacing w:line="348" w:lineRule="auto"/>
        <w:ind/>
        <w:jc w:val="both"/>
        <w:rPr>
          <w:sz w:val="26"/>
        </w:rPr>
      </w:pPr>
      <w:r>
        <w:rPr>
          <w:sz w:val="26"/>
        </w:rPr>
        <w:t>по</w:t>
      </w:r>
      <w:r>
        <w:rPr>
          <w:sz w:val="26"/>
        </w:rPr>
        <w:t xml:space="preserve"> земельны</w:t>
      </w:r>
      <w:r>
        <w:rPr>
          <w:sz w:val="26"/>
        </w:rPr>
        <w:t>м</w:t>
      </w:r>
      <w:r>
        <w:rPr>
          <w:sz w:val="26"/>
        </w:rPr>
        <w:t xml:space="preserve"> участка</w:t>
      </w:r>
      <w:r>
        <w:rPr>
          <w:sz w:val="26"/>
        </w:rPr>
        <w:t>м</w:t>
      </w:r>
      <w:r>
        <w:rPr>
          <w:sz w:val="26"/>
        </w:rPr>
        <w:t xml:space="preserve"> в районах подвижных песков;</w:t>
      </w:r>
    </w:p>
    <w:p w14:paraId="3C000000">
      <w:pPr>
        <w:pStyle w:val="Style_2"/>
        <w:numPr>
          <w:ilvl w:val="0"/>
          <w:numId w:val="2"/>
        </w:numPr>
        <w:spacing w:line="348" w:lineRule="auto"/>
        <w:ind/>
        <w:jc w:val="both"/>
        <w:rPr>
          <w:sz w:val="26"/>
        </w:rPr>
      </w:pPr>
      <w:r>
        <w:rPr>
          <w:sz w:val="26"/>
        </w:rPr>
        <w:t>по лесам, выполняющим функции защитных лесонасаждений, в том числе по лесам в поймах рек и вдоль поверхностных водных объектов;</w:t>
      </w:r>
    </w:p>
    <w:p w14:paraId="3D000000">
      <w:pPr>
        <w:pStyle w:val="Style_2"/>
        <w:numPr>
          <w:ilvl w:val="0"/>
          <w:numId w:val="2"/>
        </w:numPr>
        <w:spacing w:line="348" w:lineRule="auto"/>
        <w:ind/>
        <w:jc w:val="both"/>
        <w:rPr>
          <w:sz w:val="26"/>
        </w:rPr>
      </w:pPr>
      <w:r>
        <w:rPr>
          <w:sz w:val="26"/>
        </w:rPr>
        <w:t>по лесам, где сплошная вырубка древостоя может отразиться на устойчивости склонов гор и холмов и привести к образованию оползней, осыпей, оврагов или вызвать появление селевых потоков и снежных обвалов (лавин), повлиять на сохранность, устойчивость и прочность железнодорожных путей</w:t>
      </w:r>
      <w:r>
        <w:rPr>
          <w:sz w:val="26"/>
        </w:rPr>
        <w:t>.</w:t>
      </w:r>
    </w:p>
    <w:p w14:paraId="3E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Вместе с тем п</w:t>
      </w:r>
      <w:r>
        <w:rPr>
          <w:sz w:val="26"/>
        </w:rPr>
        <w:t xml:space="preserve">унктом 14 проекта акта </w:t>
      </w:r>
      <w:r>
        <w:rPr>
          <w:sz w:val="26"/>
        </w:rPr>
        <w:t>предусмотрен перечень</w:t>
      </w:r>
      <w:r>
        <w:rPr>
          <w:sz w:val="26"/>
        </w:rPr>
        <w:t xml:space="preserve"> основани</w:t>
      </w:r>
      <w:r>
        <w:rPr>
          <w:sz w:val="26"/>
        </w:rPr>
        <w:t>й</w:t>
      </w:r>
      <w:r>
        <w:rPr>
          <w:sz w:val="26"/>
        </w:rPr>
        <w:t xml:space="preserve"> для отказа в принятии решения об установлении, изменении или прекращении существования охранной зоны. К числу таких оснований относятся</w:t>
      </w:r>
      <w:r>
        <w:rPr>
          <w:sz w:val="26"/>
        </w:rPr>
        <w:t xml:space="preserve"> следующие</w:t>
      </w:r>
      <w:r>
        <w:rPr>
          <w:sz w:val="26"/>
        </w:rPr>
        <w:t xml:space="preserve">: </w:t>
      </w:r>
    </w:p>
    <w:p w14:paraId="3F000000">
      <w:pPr>
        <w:pStyle w:val="Style_2"/>
        <w:numPr>
          <w:ilvl w:val="0"/>
          <w:numId w:val="1"/>
        </w:numPr>
        <w:spacing w:line="348" w:lineRule="auto"/>
        <w:ind/>
        <w:contextualSpacing w:val="0"/>
        <w:jc w:val="both"/>
        <w:rPr>
          <w:sz w:val="26"/>
        </w:rPr>
      </w:pPr>
      <w:r>
        <w:rPr>
          <w:sz w:val="26"/>
        </w:rPr>
        <w:t>с заявлением об установлении охранной зоны обращается не уполномоченное лицо;</w:t>
      </w:r>
    </w:p>
    <w:p w14:paraId="40000000">
      <w:pPr>
        <w:pStyle w:val="Style_2"/>
        <w:numPr>
          <w:ilvl w:val="0"/>
          <w:numId w:val="1"/>
        </w:numPr>
        <w:spacing w:line="348" w:lineRule="auto"/>
        <w:ind/>
        <w:contextualSpacing w:val="0"/>
        <w:jc w:val="both"/>
        <w:rPr>
          <w:sz w:val="26"/>
        </w:rPr>
      </w:pPr>
      <w:r>
        <w:rPr>
          <w:sz w:val="26"/>
        </w:rPr>
        <w:t>заявление не содержит необходимых сведений;</w:t>
      </w:r>
    </w:p>
    <w:p w14:paraId="41000000">
      <w:pPr>
        <w:pStyle w:val="Style_2"/>
        <w:numPr>
          <w:ilvl w:val="0"/>
          <w:numId w:val="1"/>
        </w:numPr>
        <w:spacing w:line="348" w:lineRule="auto"/>
        <w:ind/>
        <w:contextualSpacing w:val="0"/>
        <w:jc w:val="both"/>
        <w:rPr>
          <w:sz w:val="26"/>
        </w:rPr>
      </w:pPr>
      <w:r>
        <w:rPr>
          <w:sz w:val="26"/>
        </w:rPr>
        <w:t>отсутствуют основания для установления, изменения или прекращения существования охранной зоны</w:t>
      </w:r>
      <w:r>
        <w:rPr>
          <w:sz w:val="26"/>
        </w:rPr>
        <w:t>.</w:t>
      </w:r>
    </w:p>
    <w:p w14:paraId="42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Представляется, что </w:t>
      </w:r>
      <w:r>
        <w:rPr>
          <w:sz w:val="26"/>
        </w:rPr>
        <w:t xml:space="preserve">проектируемый </w:t>
      </w:r>
      <w:r>
        <w:rPr>
          <w:sz w:val="26"/>
        </w:rPr>
        <w:t xml:space="preserve">перечень оснований </w:t>
      </w:r>
      <w:r>
        <w:rPr>
          <w:sz w:val="26"/>
        </w:rPr>
        <w:t xml:space="preserve">для </w:t>
      </w:r>
      <w:r>
        <w:rPr>
          <w:sz w:val="26"/>
        </w:rPr>
        <w:t xml:space="preserve">отказа в установлении </w:t>
      </w:r>
      <w:r>
        <w:rPr>
          <w:sz w:val="26"/>
        </w:rPr>
        <w:t xml:space="preserve">охранных </w:t>
      </w:r>
      <w:r>
        <w:rPr>
          <w:sz w:val="26"/>
        </w:rPr>
        <w:t xml:space="preserve">зон </w:t>
      </w:r>
      <w:r>
        <w:rPr>
          <w:sz w:val="26"/>
        </w:rPr>
        <w:t xml:space="preserve">требует уточнения и не </w:t>
      </w:r>
      <w:r>
        <w:rPr>
          <w:sz w:val="26"/>
        </w:rPr>
        <w:t>учитыва</w:t>
      </w:r>
      <w:r>
        <w:rPr>
          <w:sz w:val="26"/>
        </w:rPr>
        <w:t>ет</w:t>
      </w:r>
      <w:r>
        <w:rPr>
          <w:sz w:val="26"/>
        </w:rPr>
        <w:t xml:space="preserve"> иные </w:t>
      </w:r>
      <w:r>
        <w:rPr>
          <w:sz w:val="26"/>
        </w:rPr>
        <w:t xml:space="preserve">возможные </w:t>
      </w:r>
      <w:r>
        <w:rPr>
          <w:sz w:val="26"/>
        </w:rPr>
        <w:t>ситуации</w:t>
      </w:r>
      <w:r>
        <w:rPr>
          <w:sz w:val="26"/>
        </w:rPr>
        <w:t>, т</w:t>
      </w:r>
      <w:r>
        <w:rPr>
          <w:sz w:val="26"/>
        </w:rPr>
        <w:t>акие как</w:t>
      </w:r>
      <w:r>
        <w:rPr>
          <w:sz w:val="26"/>
        </w:rPr>
        <w:t>, например,</w:t>
      </w:r>
      <w:r>
        <w:rPr>
          <w:sz w:val="26"/>
        </w:rPr>
        <w:t xml:space="preserve"> </w:t>
      </w:r>
      <w:r>
        <w:rPr>
          <w:sz w:val="26"/>
        </w:rPr>
        <w:t>предоставление недостоверных сведений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несоответстви</w:t>
      </w:r>
      <w:r>
        <w:rPr>
          <w:sz w:val="26"/>
        </w:rPr>
        <w:t>е</w:t>
      </w:r>
      <w:r>
        <w:rPr>
          <w:sz w:val="26"/>
        </w:rPr>
        <w:t xml:space="preserve"> содержащихся </w:t>
      </w:r>
      <w:r>
        <w:rPr>
          <w:sz w:val="26"/>
        </w:rPr>
        <w:br/>
      </w:r>
      <w:r>
        <w:rPr>
          <w:sz w:val="26"/>
        </w:rPr>
        <w:t xml:space="preserve">в проекте охранной зоны </w:t>
      </w:r>
      <w:r>
        <w:rPr>
          <w:sz w:val="26"/>
        </w:rPr>
        <w:t xml:space="preserve">данных </w:t>
      </w:r>
      <w:r>
        <w:rPr>
          <w:sz w:val="26"/>
        </w:rPr>
        <w:t xml:space="preserve">о ее </w:t>
      </w:r>
      <w:r>
        <w:rPr>
          <w:sz w:val="26"/>
        </w:rPr>
        <w:t>размер</w:t>
      </w:r>
      <w:r>
        <w:rPr>
          <w:sz w:val="26"/>
        </w:rPr>
        <w:t>ах</w:t>
      </w:r>
      <w:r>
        <w:rPr>
          <w:sz w:val="26"/>
        </w:rPr>
        <w:t xml:space="preserve"> и границ</w:t>
      </w:r>
      <w:r>
        <w:rPr>
          <w:sz w:val="26"/>
        </w:rPr>
        <w:t>ах</w:t>
      </w:r>
      <w:r>
        <w:rPr>
          <w:sz w:val="26"/>
        </w:rPr>
        <w:t xml:space="preserve"> требованиям законодательства</w:t>
      </w:r>
      <w:r>
        <w:rPr>
          <w:sz w:val="26"/>
        </w:rPr>
        <w:t xml:space="preserve">, </w:t>
      </w:r>
      <w:r>
        <w:rPr>
          <w:sz w:val="26"/>
        </w:rPr>
        <w:t>и подобны</w:t>
      </w:r>
      <w:r>
        <w:rPr>
          <w:sz w:val="26"/>
        </w:rPr>
        <w:t>е</w:t>
      </w:r>
      <w:r>
        <w:rPr>
          <w:sz w:val="26"/>
        </w:rPr>
        <w:t>.</w:t>
      </w:r>
    </w:p>
    <w:p w14:paraId="43000000">
      <w:pPr>
        <w:spacing w:line="348" w:lineRule="auto"/>
        <w:ind w:firstLine="539" w:left="0"/>
        <w:jc w:val="both"/>
        <w:rPr>
          <w:sz w:val="26"/>
        </w:rPr>
      </w:pPr>
      <w:r>
        <w:rPr>
          <w:sz w:val="26"/>
        </w:rPr>
        <w:t xml:space="preserve">Кроме того, проектом акта не раскрываются критерии принятия решения </w:t>
      </w:r>
      <w:r>
        <w:rPr>
          <w:sz w:val="26"/>
        </w:rPr>
        <w:t xml:space="preserve">Росжелдором </w:t>
      </w:r>
      <w:r>
        <w:rPr>
          <w:sz w:val="26"/>
        </w:rPr>
        <w:br/>
      </w:r>
      <w:r>
        <w:rPr>
          <w:sz w:val="26"/>
        </w:rPr>
        <w:t>об установлении, изменении, прекращения существования охранной зоны,</w:t>
      </w:r>
      <w:r>
        <w:rPr>
          <w:sz w:val="26"/>
        </w:rPr>
        <w:t xml:space="preserve"> в том числе случаи установления ограничений</w:t>
      </w:r>
      <w:r>
        <w:rPr>
          <w:sz w:val="26"/>
        </w:rPr>
        <w:t xml:space="preserve"> </w:t>
      </w:r>
      <w:r>
        <w:rPr>
          <w:sz w:val="26"/>
        </w:rPr>
        <w:t xml:space="preserve">хозяйственной деятельности третьих лиц </w:t>
      </w:r>
      <w:r>
        <w:rPr>
          <w:sz w:val="26"/>
        </w:rPr>
        <w:t>в охранных зонах</w:t>
      </w:r>
      <w:r>
        <w:rPr>
          <w:sz w:val="26"/>
        </w:rPr>
        <w:t xml:space="preserve">. </w:t>
      </w:r>
      <w:r>
        <w:rPr>
          <w:sz w:val="26"/>
        </w:rPr>
        <w:t>Также</w:t>
      </w:r>
      <w:r>
        <w:rPr>
          <w:sz w:val="26"/>
        </w:rPr>
        <w:t xml:space="preserve"> п</w:t>
      </w:r>
      <w:r>
        <w:rPr>
          <w:sz w:val="26"/>
        </w:rPr>
        <w:t>роектом акта не раскрыты все случаи прекращения существования охранной зоны, например, в случае прекращения негативного воздействия на железнодорожные пути, за исключением случая ликвидации железнодорожных путей.</w:t>
      </w:r>
    </w:p>
    <w:p w14:paraId="44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В этой связи представляется целесообразным детализировать процедуру принятия решения об установлении, изменении, прекращении сущест</w:t>
      </w:r>
      <w:r>
        <w:rPr>
          <w:sz w:val="26"/>
        </w:rPr>
        <w:t xml:space="preserve">вования охранной зоны с учетом </w:t>
      </w:r>
      <w:r>
        <w:rPr>
          <w:sz w:val="26"/>
        </w:rPr>
        <w:t>возможных с</w:t>
      </w:r>
      <w:r>
        <w:rPr>
          <w:sz w:val="26"/>
        </w:rPr>
        <w:t>итуаций</w:t>
      </w:r>
      <w:r>
        <w:rPr>
          <w:sz w:val="26"/>
        </w:rPr>
        <w:t>.</w:t>
      </w:r>
    </w:p>
    <w:p w14:paraId="45000000">
      <w:pPr>
        <w:spacing w:line="348" w:lineRule="auto"/>
        <w:ind w:firstLine="720" w:left="0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о результатам оценки регулирующего воздействия Минэкономразвития России может быть сделан вывод о том, что:</w:t>
      </w:r>
    </w:p>
    <w:p w14:paraId="46000000">
      <w:pPr>
        <w:pStyle w:val="Style_2"/>
        <w:numPr>
          <w:ilvl w:val="0"/>
          <w:numId w:val="3"/>
        </w:numPr>
        <w:spacing w:line="348" w:lineRule="auto"/>
        <w:ind/>
        <w:contextualSpacing w:val="0"/>
        <w:jc w:val="both"/>
        <w:rPr>
          <w:sz w:val="26"/>
        </w:rPr>
      </w:pPr>
      <w:r>
        <w:rPr>
          <w:sz w:val="26"/>
        </w:rPr>
        <w:t>наличие проблемы и целесообразность ее решения с помощью регулирования, предусмотренного проектом акта, обоснованы;</w:t>
      </w:r>
    </w:p>
    <w:p w14:paraId="47000000">
      <w:pPr>
        <w:pStyle w:val="Style_2"/>
        <w:numPr>
          <w:ilvl w:val="0"/>
          <w:numId w:val="3"/>
        </w:numPr>
        <w:spacing w:line="348" w:lineRule="auto"/>
        <w:ind/>
        <w:contextualSpacing w:val="0"/>
        <w:jc w:val="both"/>
        <w:rPr>
          <w:sz w:val="26"/>
        </w:rPr>
      </w:pPr>
      <w:r>
        <w:rPr>
          <w:sz w:val="26"/>
        </w:rPr>
        <w:t>в проекте акта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</w:t>
      </w:r>
      <w:r>
        <w:rPr>
          <w:sz w:val="26"/>
        </w:rPr>
        <w:t>й системы Российской Федерации.</w:t>
      </w:r>
    </w:p>
    <w:p w14:paraId="48000000">
      <w:bookmarkStart w:id="1" w:name="_GoBack"/>
      <w:bookmarkEnd w:id="1"/>
      <w:r>
        <w:rPr>
          <w:sz w:val="16"/>
        </w:rPr>
        <w:t xml:space="preserve"> </w:t>
      </w:r>
    </w:p>
    <w:sectPr>
      <w:headerReference r:id="rId1" w:type="default"/>
      <w:pgSz w:h="16838" w:w="11906"/>
      <w:pgMar w:bottom="851" w:footer="567" w:gutter="0" w:header="567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xmlns:p1="http://schemas.microsoft.com/office/word/2010/wordml" p1:paraId="01000000">
    <w:pPr>
      <w:pStyle w:val="Style_1"/>
      <w:ind/>
      <w:jc w:val="center"/>
    </w:pPr>
  </w:p>
  <w:p xmlns:p1="http://schemas.microsoft.com/office/word/2010/wordml" p1:paraId="02000000"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bullet"/>
      <w:lvlText w:val=""/>
      <w:pPr>
        <w:ind w:firstLine="720" w:left="0"/>
      </w:pPr>
      <w:rPr>
        <w:rFonts w:ascii="Symbol" w:hAnsi="Symbol"/>
      </w:rPr>
    </w:lvl>
    <w:lvl w:ilvl="1">
      <w:start w:val="1"/>
      <w:numFmt w:val="bullet"/>
      <w:lvlText w:val="o"/>
      <w:pPr>
        <w:ind w:hanging="360" w:left="1979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699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3419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4139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859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579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6299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7019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pPr>
        <w:ind w:firstLine="720" w:left="0"/>
      </w:pPr>
      <w:rPr>
        <w:rFonts w:ascii="Symbol" w:hAnsi="Symbol"/>
      </w:rPr>
    </w:lvl>
    <w:lvl w:ilvl="1">
      <w:start w:val="1"/>
      <w:numFmt w:val="bullet"/>
      <w:lvlText w:val="o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pPr>
        <w:ind w:firstLine="720" w:left="0"/>
      </w:pPr>
      <w:rPr>
        <w:rFonts w:ascii="Symbol" w:hAnsi="Symbol"/>
      </w:rPr>
    </w:lvl>
    <w:lvl w:ilvl="1">
      <w:start w:val="1"/>
      <w:numFmt w:val="bullet"/>
      <w:lvlText w:val="o"/>
      <w:pPr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7188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Font Style91"/>
    <w:basedOn w:val="Style_6"/>
    <w:link w:val="Style_5_ch"/>
    <w:rPr>
      <w:rFonts w:ascii="Times New Roman" w:hAnsi="Times New Roman"/>
      <w:sz w:val="26"/>
    </w:rPr>
  </w:style>
  <w:style w:styleId="Style_5_ch" w:type="character">
    <w:name w:val="Font Style91"/>
    <w:basedOn w:val="Style_6_ch"/>
    <w:link w:val="Style_5"/>
    <w:rPr>
      <w:rFonts w:ascii="Times New Roman" w:hAnsi="Times New Roman"/>
      <w:sz w:val="26"/>
    </w:rPr>
  </w:style>
  <w:style w:styleId="Style_7" w:type="paragraph">
    <w:name w:val="Font Style41"/>
    <w:basedOn w:val="Style_6"/>
    <w:link w:val="Style_7_ch"/>
    <w:rPr>
      <w:rFonts w:ascii="Times New Roman" w:hAnsi="Times New Roman"/>
      <w:sz w:val="110"/>
    </w:rPr>
  </w:style>
  <w:style w:styleId="Style_7_ch" w:type="character">
    <w:name w:val="Font Style41"/>
    <w:basedOn w:val="Style_6_ch"/>
    <w:link w:val="Style_7"/>
    <w:rPr>
      <w:rFonts w:ascii="Times New Roman" w:hAnsi="Times New Roman"/>
      <w:sz w:val="110"/>
    </w:rPr>
  </w:style>
  <w:style w:styleId="Style_8" w:type="paragraph">
    <w:name w:val="footer"/>
    <w:basedOn w:val="Style_3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3_ch"/>
    <w:link w:val="Style_8"/>
  </w:style>
  <w:style w:styleId="Style_9" w:type="paragraph">
    <w:name w:val="toc 4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Style4"/>
    <w:basedOn w:val="Style_3"/>
    <w:link w:val="Style_10_ch"/>
    <w:pPr>
      <w:widowControl w:val="0"/>
      <w:ind/>
    </w:pPr>
    <w:rPr>
      <w:rFonts w:ascii="Calibri" w:hAnsi="Calibri"/>
    </w:rPr>
  </w:style>
  <w:style w:styleId="Style_10_ch" w:type="character">
    <w:name w:val="Style4"/>
    <w:basedOn w:val="Style_3_ch"/>
    <w:link w:val="Style_10"/>
    <w:rPr>
      <w:rFonts w:ascii="Calibri" w:hAnsi="Calibri"/>
    </w:rPr>
  </w:style>
  <w:style w:styleId="Style_11" w:type="paragraph">
    <w:name w:val="toc 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Style23"/>
    <w:basedOn w:val="Style_3"/>
    <w:link w:val="Style_13_ch"/>
    <w:pPr>
      <w:widowControl w:val="0"/>
      <w:spacing w:line="291" w:lineRule="exact"/>
      <w:ind/>
      <w:jc w:val="both"/>
    </w:pPr>
    <w:rPr>
      <w:rFonts w:ascii="Calibri" w:hAnsi="Calibri"/>
    </w:rPr>
  </w:style>
  <w:style w:styleId="Style_13_ch" w:type="character">
    <w:name w:val="Style23"/>
    <w:basedOn w:val="Style_3_ch"/>
    <w:link w:val="Style_13"/>
    <w:rPr>
      <w:rFonts w:ascii="Calibri" w:hAnsi="Calibri"/>
    </w:rPr>
  </w:style>
  <w:style w:styleId="Style_14" w:type="paragraph">
    <w:name w:val="Font Style92"/>
    <w:basedOn w:val="Style_6"/>
    <w:link w:val="Style_14_ch"/>
    <w:rPr>
      <w:rFonts w:ascii="Times New Roman" w:hAnsi="Times New Roman"/>
      <w:i w:val="1"/>
      <w:sz w:val="24"/>
    </w:rPr>
  </w:style>
  <w:style w:styleId="Style_14_ch" w:type="character">
    <w:name w:val="Font Style92"/>
    <w:basedOn w:val="Style_6_ch"/>
    <w:link w:val="Style_14"/>
    <w:rPr>
      <w:rFonts w:ascii="Times New Roman" w:hAnsi="Times New Roman"/>
      <w:i w:val="1"/>
      <w:sz w:val="24"/>
    </w:rPr>
  </w:style>
  <w:style w:styleId="Style_15" w:type="paragraph">
    <w:name w:val="Style16"/>
    <w:basedOn w:val="Style_3"/>
    <w:link w:val="Style_15_ch"/>
    <w:pPr>
      <w:widowControl w:val="0"/>
      <w:spacing w:line="291" w:lineRule="exact"/>
      <w:ind/>
    </w:pPr>
    <w:rPr>
      <w:rFonts w:ascii="Calibri" w:hAnsi="Calibri"/>
    </w:rPr>
  </w:style>
  <w:style w:styleId="Style_15_ch" w:type="character">
    <w:name w:val="Style16"/>
    <w:basedOn w:val="Style_3_ch"/>
    <w:link w:val="Style_15"/>
    <w:rPr>
      <w:rFonts w:ascii="Calibri" w:hAnsi="Calibri"/>
    </w:rPr>
  </w:style>
  <w:style w:styleId="Style_16" w:type="paragraph">
    <w:name w:val="annotation text"/>
    <w:basedOn w:val="Style_3"/>
    <w:link w:val="Style_16_ch"/>
    <w:rPr>
      <w:sz w:val="20"/>
    </w:rPr>
  </w:style>
  <w:style w:styleId="Style_16_ch" w:type="character">
    <w:name w:val="annotation text"/>
    <w:basedOn w:val="Style_3_ch"/>
    <w:link w:val="Style_16"/>
    <w:rPr>
      <w:sz w:val="20"/>
    </w:rPr>
  </w:style>
  <w:style w:styleId="Style_17" w:type="paragraph">
    <w:name w:val="footnote reference"/>
    <w:basedOn w:val="Style_6"/>
    <w:link w:val="Style_17_ch"/>
    <w:rPr>
      <w:vertAlign w:val="superscript"/>
    </w:rPr>
  </w:style>
  <w:style w:styleId="Style_17_ch" w:type="character">
    <w:name w:val="footnote reference"/>
    <w:basedOn w:val="Style_6_ch"/>
    <w:link w:val="Style_17"/>
    <w:rPr>
      <w:vertAlign w:val="superscript"/>
    </w:rPr>
  </w:style>
  <w:style w:styleId="Style_18" w:type="paragraph">
    <w:name w:val="Style20"/>
    <w:basedOn w:val="Style_3"/>
    <w:link w:val="Style_18_ch"/>
    <w:pPr>
      <w:widowControl w:val="0"/>
      <w:spacing w:line="277" w:lineRule="exact"/>
      <w:ind w:firstLine="706" w:left="0"/>
      <w:jc w:val="both"/>
    </w:pPr>
    <w:rPr>
      <w:rFonts w:ascii="Calibri" w:hAnsi="Calibri"/>
    </w:rPr>
  </w:style>
  <w:style w:styleId="Style_18_ch" w:type="character">
    <w:name w:val="Style20"/>
    <w:basedOn w:val="Style_3_ch"/>
    <w:link w:val="Style_18"/>
    <w:rPr>
      <w:rFonts w:ascii="Calibri" w:hAnsi="Calibri"/>
    </w:rPr>
  </w:style>
  <w:style w:styleId="Style_19" w:type="paragraph">
    <w:name w:val="heading 3"/>
    <w:link w:val="Style_1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</w:rPr>
  </w:style>
  <w:style w:styleId="Style_20" w:type="paragraph">
    <w:name w:val="Default"/>
    <w:link w:val="Style_20_ch"/>
    <w:rPr>
      <w:rFonts w:ascii="Calibri" w:hAnsi="Calibri"/>
      <w:color w:val="000000"/>
      <w:sz w:val="24"/>
    </w:rPr>
  </w:style>
  <w:style w:styleId="Style_20_ch" w:type="character">
    <w:name w:val="Default"/>
    <w:link w:val="Style_20"/>
    <w:rPr>
      <w:rFonts w:ascii="Calibri" w:hAnsi="Calibri"/>
      <w:color w:val="000000"/>
      <w:sz w:val="24"/>
    </w:rPr>
  </w:style>
  <w:style w:styleId="Style_21" w:type="paragraph">
    <w:name w:val="ConsPlusNormal"/>
    <w:link w:val="Style_21_ch"/>
    <w:pPr>
      <w:widowControl w:val="0"/>
      <w:ind/>
    </w:pPr>
    <w:rPr>
      <w:rFonts w:ascii="Calibri" w:hAnsi="Calibri"/>
      <w:sz w:val="22"/>
    </w:rPr>
  </w:style>
  <w:style w:styleId="Style_21_ch" w:type="character">
    <w:name w:val="ConsPlusNormal"/>
    <w:link w:val="Style_21"/>
    <w:rPr>
      <w:rFonts w:ascii="Calibri" w:hAnsi="Calibri"/>
      <w:sz w:val="22"/>
    </w:rPr>
  </w:style>
  <w:style w:styleId="Style_22" w:type="paragraph">
    <w:name w:val="Text body"/>
    <w:basedOn w:val="Style_3"/>
    <w:link w:val="Style_22_ch"/>
    <w:pPr>
      <w:widowControl w:val="0"/>
      <w:spacing w:after="120"/>
      <w:ind/>
    </w:pPr>
  </w:style>
  <w:style w:styleId="Style_22_ch" w:type="character">
    <w:name w:val="Text body"/>
    <w:basedOn w:val="Style_3_ch"/>
    <w:link w:val="Style_22"/>
  </w:style>
  <w:style w:styleId="Style_23" w:type="paragraph">
    <w:name w:val="Style48"/>
    <w:basedOn w:val="Style_3"/>
    <w:link w:val="Style_23_ch"/>
    <w:pPr>
      <w:widowControl w:val="0"/>
      <w:spacing w:line="325" w:lineRule="exact"/>
      <w:ind w:firstLine="492" w:left="0"/>
    </w:pPr>
  </w:style>
  <w:style w:styleId="Style_23_ch" w:type="character">
    <w:name w:val="Style48"/>
    <w:basedOn w:val="Style_3_ch"/>
    <w:link w:val="Style_23"/>
  </w:style>
  <w:style w:styleId="Style_24" w:type="paragraph">
    <w:name w:val="Style19"/>
    <w:basedOn w:val="Style_3"/>
    <w:link w:val="Style_24_ch"/>
    <w:pPr>
      <w:widowControl w:val="0"/>
      <w:spacing w:line="296" w:lineRule="exact"/>
      <w:ind/>
    </w:pPr>
    <w:rPr>
      <w:rFonts w:ascii="Calibri" w:hAnsi="Calibri"/>
    </w:rPr>
  </w:style>
  <w:style w:styleId="Style_24_ch" w:type="character">
    <w:name w:val="Style19"/>
    <w:basedOn w:val="Style_3_ch"/>
    <w:link w:val="Style_24"/>
    <w:rPr>
      <w:rFonts w:ascii="Calibri" w:hAnsi="Calibri"/>
    </w:rPr>
  </w:style>
  <w:style w:styleId="Style_25" w:type="paragraph">
    <w:name w:val="Font Style65"/>
    <w:basedOn w:val="Style_6"/>
    <w:link w:val="Style_25_ch"/>
    <w:rPr>
      <w:rFonts w:ascii="Times New Roman" w:hAnsi="Times New Roman"/>
      <w:sz w:val="26"/>
    </w:rPr>
  </w:style>
  <w:style w:styleId="Style_25_ch" w:type="character">
    <w:name w:val="Font Style65"/>
    <w:basedOn w:val="Style_6_ch"/>
    <w:link w:val="Style_25"/>
    <w:rPr>
      <w:rFonts w:ascii="Times New Roman" w:hAnsi="Times New Roman"/>
      <w:sz w:val="26"/>
    </w:rPr>
  </w:style>
  <w:style w:styleId="Style_26" w:type="paragraph">
    <w:name w:val="Font Style37"/>
    <w:basedOn w:val="Style_6"/>
    <w:link w:val="Style_26_ch"/>
    <w:rPr>
      <w:rFonts w:ascii="Times New Roman" w:hAnsi="Times New Roman"/>
      <w:sz w:val="26"/>
    </w:rPr>
  </w:style>
  <w:style w:styleId="Style_26_ch" w:type="character">
    <w:name w:val="Font Style37"/>
    <w:basedOn w:val="Style_6_ch"/>
    <w:link w:val="Style_26"/>
    <w:rPr>
      <w:rFonts w:ascii="Times New Roman" w:hAnsi="Times New Roman"/>
      <w:sz w:val="26"/>
    </w:rPr>
  </w:style>
  <w:style w:styleId="Style_27" w:type="paragraph">
    <w:name w:val="HTML Preformatted"/>
    <w:basedOn w:val="Style_3"/>
    <w:link w:val="Style_2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7_ch" w:type="character">
    <w:name w:val="HTML Preformatted"/>
    <w:basedOn w:val="Style_3_ch"/>
    <w:link w:val="Style_27"/>
    <w:rPr>
      <w:rFonts w:ascii="Courier New" w:hAnsi="Courier New"/>
      <w:sz w:val="20"/>
    </w:rPr>
  </w:style>
  <w:style w:styleId="Style_28" w:type="paragraph">
    <w:name w:val="Font Style30"/>
    <w:basedOn w:val="Style_6"/>
    <w:link w:val="Style_28_ch"/>
    <w:rPr>
      <w:rFonts w:ascii="Times New Roman" w:hAnsi="Times New Roman"/>
      <w:b w:val="1"/>
      <w:sz w:val="22"/>
    </w:rPr>
  </w:style>
  <w:style w:styleId="Style_28_ch" w:type="character">
    <w:name w:val="Font Style30"/>
    <w:basedOn w:val="Style_6_ch"/>
    <w:link w:val="Style_28"/>
    <w:rPr>
      <w:rFonts w:ascii="Times New Roman" w:hAnsi="Times New Roman"/>
      <w:b w:val="1"/>
      <w:sz w:val="22"/>
    </w:rPr>
  </w:style>
  <w:style w:styleId="Style_29" w:type="paragraph">
    <w:name w:val="Style18"/>
    <w:basedOn w:val="Style_3"/>
    <w:link w:val="Style_29_ch"/>
    <w:pPr>
      <w:widowControl w:val="0"/>
      <w:spacing w:line="1329" w:lineRule="exact"/>
      <w:ind w:firstLine="2980" w:left="0"/>
      <w:jc w:val="both"/>
    </w:pPr>
  </w:style>
  <w:style w:styleId="Style_29_ch" w:type="character">
    <w:name w:val="Style18"/>
    <w:basedOn w:val="Style_3_ch"/>
    <w:link w:val="Style_29"/>
  </w:style>
  <w:style w:styleId="Style_30" w:type="paragraph">
    <w:name w:val="annotation subject"/>
    <w:basedOn w:val="Style_16"/>
    <w:next w:val="Style_16"/>
    <w:link w:val="Style_30_ch"/>
    <w:rPr>
      <w:b w:val="1"/>
    </w:rPr>
  </w:style>
  <w:style w:styleId="Style_30_ch" w:type="character">
    <w:name w:val="annotation subject"/>
    <w:basedOn w:val="Style_16_ch"/>
    <w:link w:val="Style_30"/>
    <w:rPr>
      <w:b w:val="1"/>
    </w:rPr>
  </w:style>
  <w:style w:styleId="Style_31" w:type="paragraph">
    <w:name w:val="Balloon Text"/>
    <w:basedOn w:val="Style_3"/>
    <w:link w:val="Style_31_ch"/>
    <w:rPr>
      <w:rFonts w:ascii="Tahoma" w:hAnsi="Tahoma"/>
      <w:sz w:val="16"/>
    </w:rPr>
  </w:style>
  <w:style w:styleId="Style_31_ch" w:type="character">
    <w:name w:val="Balloon Text"/>
    <w:basedOn w:val="Style_3_ch"/>
    <w:link w:val="Style_31"/>
    <w:rPr>
      <w:rFonts w:ascii="Tahoma" w:hAnsi="Tahoma"/>
      <w:sz w:val="16"/>
    </w:rPr>
  </w:style>
  <w:style w:styleId="Style_32" w:type="paragraph">
    <w:name w:val="заголовок 3"/>
    <w:basedOn w:val="Style_3"/>
    <w:next w:val="Style_3"/>
    <w:link w:val="Style_32_ch"/>
    <w:pPr>
      <w:keepNext w:val="1"/>
      <w:ind/>
    </w:pPr>
    <w:rPr>
      <w:rFonts w:ascii="Bookman Old Style" w:hAnsi="Bookman Old Style"/>
    </w:rPr>
  </w:style>
  <w:style w:styleId="Style_32_ch" w:type="character">
    <w:name w:val="заголовок 3"/>
    <w:basedOn w:val="Style_3_ch"/>
    <w:link w:val="Style_32"/>
    <w:rPr>
      <w:rFonts w:ascii="Bookman Old Style" w:hAnsi="Bookman Old Style"/>
    </w:rPr>
  </w:style>
  <w:style w:styleId="Style_33" w:type="paragraph">
    <w:name w:val="Font Style33"/>
    <w:basedOn w:val="Style_6"/>
    <w:link w:val="Style_33_ch"/>
    <w:rPr>
      <w:rFonts w:ascii="Calibri" w:hAnsi="Calibri"/>
      <w:b w:val="1"/>
      <w:sz w:val="22"/>
    </w:rPr>
  </w:style>
  <w:style w:styleId="Style_33_ch" w:type="character">
    <w:name w:val="Font Style33"/>
    <w:basedOn w:val="Style_6_ch"/>
    <w:link w:val="Style_33"/>
    <w:rPr>
      <w:rFonts w:ascii="Calibri" w:hAnsi="Calibri"/>
      <w:b w:val="1"/>
      <w:sz w:val="22"/>
    </w:rPr>
  </w:style>
  <w:style w:styleId="Style_34" w:type="paragraph">
    <w:name w:val="Основной текст4"/>
    <w:basedOn w:val="Style_3"/>
    <w:link w:val="Style_34_ch"/>
    <w:pPr>
      <w:widowControl w:val="0"/>
      <w:spacing w:after="300" w:line="322" w:lineRule="exact"/>
      <w:ind w:hanging="600" w:left="0"/>
    </w:pPr>
    <w:rPr>
      <w:color w:val="000000"/>
      <w:sz w:val="26"/>
    </w:rPr>
  </w:style>
  <w:style w:styleId="Style_34_ch" w:type="character">
    <w:name w:val="Основной текст4"/>
    <w:basedOn w:val="Style_3_ch"/>
    <w:link w:val="Style_34"/>
    <w:rPr>
      <w:color w:val="000000"/>
      <w:sz w:val="26"/>
    </w:rPr>
  </w:style>
  <w:style w:styleId="Style_35" w:type="paragraph">
    <w:name w:val="toc 3"/>
    <w:link w:val="Style_35_ch"/>
    <w:uiPriority w:val="39"/>
    <w:pPr>
      <w:ind w:firstLine="0" w:left="400"/>
    </w:pPr>
  </w:style>
  <w:style w:styleId="Style_35_ch" w:type="character">
    <w:name w:val="toc 3"/>
    <w:link w:val="Style_35"/>
  </w:style>
  <w:style w:styleId="Style_36" w:type="paragraph">
    <w:name w:val="annotation reference"/>
    <w:basedOn w:val="Style_6"/>
    <w:link w:val="Style_36_ch"/>
    <w:rPr>
      <w:sz w:val="16"/>
    </w:rPr>
  </w:style>
  <w:style w:styleId="Style_36_ch" w:type="character">
    <w:name w:val="annotation reference"/>
    <w:basedOn w:val="Style_6_ch"/>
    <w:link w:val="Style_36"/>
    <w:rPr>
      <w:sz w:val="16"/>
    </w:rPr>
  </w:style>
  <w:style w:styleId="Style_37" w:type="paragraph">
    <w:name w:val="заголовок 2"/>
    <w:basedOn w:val="Style_3"/>
    <w:next w:val="Style_3"/>
    <w:link w:val="Style_37_ch"/>
    <w:pPr>
      <w:keepNext w:val="1"/>
      <w:ind/>
      <w:jc w:val="center"/>
    </w:pPr>
    <w:rPr>
      <w:b w:val="1"/>
      <w:sz w:val="28"/>
    </w:rPr>
  </w:style>
  <w:style w:styleId="Style_37_ch" w:type="character">
    <w:name w:val="заголовок 2"/>
    <w:basedOn w:val="Style_3_ch"/>
    <w:link w:val="Style_37"/>
    <w:rPr>
      <w:b w:val="1"/>
      <w:sz w:val="28"/>
    </w:rPr>
  </w:style>
  <w:style w:styleId="Style_38" w:type="paragraph">
    <w:link w:val="Style_38_ch"/>
    <w:semiHidden w:val="1"/>
    <w:unhideWhenUsed w:val="1"/>
    <w:rPr>
      <w:sz w:val="24"/>
    </w:rPr>
  </w:style>
  <w:style w:styleId="Style_38_ch" w:type="character">
    <w:link w:val="Style_38"/>
    <w:semiHidden w:val="1"/>
    <w:unhideWhenUsed w:val="1"/>
    <w:rPr>
      <w:sz w:val="24"/>
    </w:rPr>
  </w:style>
  <w:style w:styleId="Style_39" w:type="paragraph">
    <w:name w:val="Font Style27"/>
    <w:basedOn w:val="Style_6"/>
    <w:link w:val="Style_39_ch"/>
    <w:rPr>
      <w:rFonts w:ascii="Times New Roman" w:hAnsi="Times New Roman"/>
      <w:sz w:val="22"/>
    </w:rPr>
  </w:style>
  <w:style w:styleId="Style_39_ch" w:type="character">
    <w:name w:val="Font Style27"/>
    <w:basedOn w:val="Style_6_ch"/>
    <w:link w:val="Style_39"/>
    <w:rPr>
      <w:rFonts w:ascii="Times New Roman" w:hAnsi="Times New Roman"/>
      <w:sz w:val="22"/>
    </w:rPr>
  </w:style>
  <w:style w:styleId="Style_40" w:type="paragraph">
    <w:name w:val="Style38"/>
    <w:basedOn w:val="Style_3"/>
    <w:link w:val="Style_40_ch"/>
    <w:pPr>
      <w:widowControl w:val="0"/>
      <w:ind/>
    </w:pPr>
  </w:style>
  <w:style w:styleId="Style_40_ch" w:type="character">
    <w:name w:val="Style38"/>
    <w:basedOn w:val="Style_3_ch"/>
    <w:link w:val="Style_40"/>
  </w:style>
  <w:style w:styleId="Style_41" w:type="paragraph">
    <w:name w:val="Style5"/>
    <w:basedOn w:val="Style_3"/>
    <w:link w:val="Style_41_ch"/>
    <w:pPr>
      <w:widowControl w:val="0"/>
      <w:spacing w:line="269" w:lineRule="exact"/>
      <w:ind/>
      <w:jc w:val="center"/>
    </w:pPr>
    <w:rPr>
      <w:rFonts w:ascii="Calibri" w:hAnsi="Calibri"/>
    </w:rPr>
  </w:style>
  <w:style w:styleId="Style_41_ch" w:type="character">
    <w:name w:val="Style5"/>
    <w:basedOn w:val="Style_3_ch"/>
    <w:link w:val="Style_41"/>
    <w:rPr>
      <w:rFonts w:ascii="Calibri" w:hAnsi="Calibri"/>
    </w:rPr>
  </w:style>
  <w:style w:styleId="Style_42" w:type="paragraph">
    <w:name w:val="Font Style16"/>
    <w:basedOn w:val="Style_6"/>
    <w:link w:val="Style_42_ch"/>
    <w:rPr>
      <w:rFonts w:ascii="Times New Roman" w:hAnsi="Times New Roman"/>
      <w:sz w:val="26"/>
    </w:rPr>
  </w:style>
  <w:style w:styleId="Style_42_ch" w:type="character">
    <w:name w:val="Font Style16"/>
    <w:basedOn w:val="Style_6_ch"/>
    <w:link w:val="Style_42"/>
    <w:rPr>
      <w:rFonts w:ascii="Times New Roman" w:hAnsi="Times New Roman"/>
      <w:sz w:val="26"/>
    </w:rPr>
  </w:style>
  <w:style w:styleId="Style_43" w:type="paragraph">
    <w:name w:val="heading 5"/>
    <w:link w:val="Style_4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3_ch" w:type="character">
    <w:name w:val="heading 5"/>
    <w:link w:val="Style_43"/>
    <w:rPr>
      <w:rFonts w:ascii="XO Thames" w:hAnsi="XO Thames"/>
      <w:b w:val="1"/>
      <w:color w:val="000000"/>
      <w:sz w:val="22"/>
    </w:rPr>
  </w:style>
  <w:style w:styleId="Style_44" w:type="paragraph">
    <w:name w:val="Style42"/>
    <w:basedOn w:val="Style_3"/>
    <w:link w:val="Style_44_ch"/>
    <w:pPr>
      <w:widowControl w:val="0"/>
      <w:spacing w:line="327" w:lineRule="exact"/>
      <w:ind w:firstLine="708" w:left="0"/>
      <w:jc w:val="both"/>
    </w:pPr>
  </w:style>
  <w:style w:styleId="Style_44_ch" w:type="character">
    <w:name w:val="Style42"/>
    <w:basedOn w:val="Style_3_ch"/>
    <w:link w:val="Style_44"/>
  </w:style>
  <w:style w:styleId="Style_45" w:type="paragraph">
    <w:name w:val="heading 1"/>
    <w:link w:val="Style_4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45_ch" w:type="character">
    <w:name w:val="heading 1"/>
    <w:link w:val="Style_45"/>
    <w:rPr>
      <w:rFonts w:ascii="XO Thames" w:hAnsi="XO Thames"/>
      <w:b w:val="1"/>
      <w:sz w:val="32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46" w:type="paragraph">
    <w:name w:val="Hyperlink"/>
    <w:basedOn w:val="Style_6"/>
    <w:link w:val="Style_46_ch"/>
    <w:rPr>
      <w:color w:themeColor="hyperlink" w:val="000000"/>
      <w:u w:val="single"/>
    </w:rPr>
  </w:style>
  <w:style w:styleId="Style_46_ch" w:type="character">
    <w:name w:val="Hyperlink"/>
    <w:basedOn w:val="Style_6_ch"/>
    <w:link w:val="Style_46"/>
    <w:rPr>
      <w:color w:themeColor="hyperlink" w:val="000000"/>
      <w:u w:val="single"/>
    </w:rPr>
  </w:style>
  <w:style w:styleId="Style_47" w:type="paragraph">
    <w:name w:val="Footnote"/>
    <w:basedOn w:val="Style_3"/>
    <w:link w:val="Style_47_ch"/>
    <w:rPr>
      <w:sz w:val="20"/>
    </w:rPr>
  </w:style>
  <w:style w:styleId="Style_47_ch" w:type="character">
    <w:name w:val="Footnote"/>
    <w:basedOn w:val="Style_3_ch"/>
    <w:link w:val="Style_47"/>
    <w:rPr>
      <w:sz w:val="20"/>
    </w:rPr>
  </w:style>
  <w:style w:styleId="Style_48" w:type="paragraph">
    <w:name w:val="Основной текст12"/>
    <w:basedOn w:val="Style_3"/>
    <w:link w:val="Style_48_ch"/>
    <w:pPr>
      <w:widowControl w:val="0"/>
      <w:spacing w:after="420" w:line="240" w:lineRule="atLeast"/>
      <w:ind/>
      <w:jc w:val="right"/>
    </w:pPr>
    <w:rPr>
      <w:color w:val="000000"/>
      <w:spacing w:val="-1"/>
      <w:sz w:val="22"/>
    </w:rPr>
  </w:style>
  <w:style w:styleId="Style_48_ch" w:type="character">
    <w:name w:val="Основной текст12"/>
    <w:basedOn w:val="Style_3_ch"/>
    <w:link w:val="Style_48"/>
    <w:rPr>
      <w:color w:val="000000"/>
      <w:spacing w:val="-1"/>
      <w:sz w:val="22"/>
    </w:rPr>
  </w:style>
  <w:style w:styleId="Style_49" w:type="paragraph">
    <w:name w:val="toc 1"/>
    <w:link w:val="Style_49_ch"/>
    <w:uiPriority w:val="39"/>
    <w:pPr>
      <w:ind w:firstLine="0" w:left="0"/>
    </w:pPr>
    <w:rPr>
      <w:rFonts w:ascii="XO Thames" w:hAnsi="XO Thames"/>
      <w:b w:val="1"/>
    </w:rPr>
  </w:style>
  <w:style w:styleId="Style_49_ch" w:type="character">
    <w:name w:val="toc 1"/>
    <w:link w:val="Style_49"/>
    <w:rPr>
      <w:rFonts w:ascii="XO Thames" w:hAnsi="XO Thames"/>
      <w:b w:val="1"/>
    </w:rPr>
  </w:style>
  <w:style w:styleId="Style_50" w:type="paragraph">
    <w:name w:val="Style7"/>
    <w:basedOn w:val="Style_3"/>
    <w:link w:val="Style_50_ch"/>
    <w:pPr>
      <w:widowControl w:val="0"/>
      <w:spacing w:line="328" w:lineRule="exact"/>
      <w:ind w:firstLine="691" w:left="0"/>
      <w:jc w:val="both"/>
    </w:pPr>
  </w:style>
  <w:style w:styleId="Style_50_ch" w:type="character">
    <w:name w:val="Style7"/>
    <w:basedOn w:val="Style_3_ch"/>
    <w:link w:val="Style_50"/>
  </w:style>
  <w:style w:styleId="Style_51" w:type="paragraph">
    <w:name w:val="Style12"/>
    <w:basedOn w:val="Style_3"/>
    <w:link w:val="Style_51_ch"/>
    <w:pPr>
      <w:widowControl w:val="0"/>
      <w:spacing w:line="450" w:lineRule="exact"/>
      <w:ind w:firstLine="701" w:left="0"/>
      <w:jc w:val="both"/>
    </w:pPr>
  </w:style>
  <w:style w:styleId="Style_51_ch" w:type="character">
    <w:name w:val="Style12"/>
    <w:basedOn w:val="Style_3_ch"/>
    <w:link w:val="Style_51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52" w:type="paragraph">
    <w:name w:val="Header and Footer"/>
    <w:link w:val="Style_52_ch"/>
    <w:pPr>
      <w:spacing w:line="360" w:lineRule="auto"/>
      <w:ind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53" w:type="paragraph">
    <w:name w:val="Font Style32"/>
    <w:basedOn w:val="Style_6"/>
    <w:link w:val="Style_53_ch"/>
    <w:rPr>
      <w:rFonts w:ascii="Calibri" w:hAnsi="Calibri"/>
      <w:sz w:val="22"/>
    </w:rPr>
  </w:style>
  <w:style w:styleId="Style_53_ch" w:type="character">
    <w:name w:val="Font Style32"/>
    <w:basedOn w:val="Style_6_ch"/>
    <w:link w:val="Style_53"/>
    <w:rPr>
      <w:rFonts w:ascii="Calibri" w:hAnsi="Calibri"/>
      <w:sz w:val="22"/>
    </w:rPr>
  </w:style>
  <w:style w:styleId="Style_54" w:type="paragraph">
    <w:name w:val="Style15"/>
    <w:basedOn w:val="Style_3"/>
    <w:link w:val="Style_54_ch"/>
    <w:pPr>
      <w:widowControl w:val="0"/>
      <w:spacing w:line="283" w:lineRule="exact"/>
      <w:ind w:firstLine="288" w:left="0"/>
      <w:jc w:val="both"/>
    </w:pPr>
  </w:style>
  <w:style w:styleId="Style_54_ch" w:type="character">
    <w:name w:val="Style15"/>
    <w:basedOn w:val="Style_3_ch"/>
    <w:link w:val="Style_54"/>
  </w:style>
  <w:style w:styleId="Style_55" w:type="paragraph">
    <w:name w:val="No Spacing"/>
    <w:link w:val="Style_55_ch"/>
    <w:rPr>
      <w:rFonts w:asciiTheme="minorAscii"/>
      <w:sz w:val="22"/>
    </w:rPr>
  </w:style>
  <w:style w:styleId="Style_55_ch" w:type="character">
    <w:name w:val="No Spacing"/>
    <w:link w:val="Style_55"/>
    <w:rPr>
      <w:rFonts w:asciiTheme="minorAscii"/>
      <w:sz w:val="22"/>
    </w:rPr>
  </w:style>
  <w:style w:styleId="Style_56" w:type="paragraph">
    <w:name w:val="Style10"/>
    <w:basedOn w:val="Style_3"/>
    <w:link w:val="Style_56_ch"/>
    <w:pPr>
      <w:widowControl w:val="0"/>
      <w:spacing w:line="283" w:lineRule="exact"/>
      <w:ind w:firstLine="706" w:left="0"/>
    </w:pPr>
    <w:rPr>
      <w:rFonts w:ascii="Calibri" w:hAnsi="Calibri"/>
    </w:rPr>
  </w:style>
  <w:style w:styleId="Style_56_ch" w:type="character">
    <w:name w:val="Style10"/>
    <w:basedOn w:val="Style_3_ch"/>
    <w:link w:val="Style_56"/>
    <w:rPr>
      <w:rFonts w:ascii="Calibri" w:hAnsi="Calibri"/>
    </w:rPr>
  </w:style>
  <w:style w:styleId="Style_57" w:type="paragraph">
    <w:name w:val="toc 9"/>
    <w:link w:val="Style_57_ch"/>
    <w:uiPriority w:val="39"/>
    <w:pPr>
      <w:ind w:firstLine="0" w:left="1600"/>
    </w:pPr>
  </w:style>
  <w:style w:styleId="Style_57_ch" w:type="character">
    <w:name w:val="toc 9"/>
    <w:link w:val="Style_57"/>
  </w:style>
  <w:style w:styleId="Style_58" w:type="paragraph">
    <w:name w:val="Font Style54"/>
    <w:basedOn w:val="Style_6"/>
    <w:link w:val="Style_58_ch"/>
    <w:rPr>
      <w:rFonts w:ascii="Times New Roman" w:hAnsi="Times New Roman"/>
      <w:sz w:val="24"/>
    </w:rPr>
  </w:style>
  <w:style w:styleId="Style_58_ch" w:type="character">
    <w:name w:val="Font Style54"/>
    <w:basedOn w:val="Style_6_ch"/>
    <w:link w:val="Style_58"/>
    <w:rPr>
      <w:rFonts w:ascii="Times New Roman" w:hAnsi="Times New Roman"/>
      <w:sz w:val="24"/>
    </w:rPr>
  </w:style>
  <w:style w:styleId="Style_59" w:type="paragraph">
    <w:name w:val="Style6"/>
    <w:basedOn w:val="Style_3"/>
    <w:link w:val="Style_59_ch"/>
    <w:pPr>
      <w:widowControl w:val="0"/>
      <w:spacing w:line="274" w:lineRule="exact"/>
      <w:ind w:firstLine="727" w:left="0"/>
      <w:jc w:val="both"/>
    </w:pPr>
    <w:rPr>
      <w:rFonts w:ascii="Calibri" w:hAnsi="Calibri"/>
    </w:rPr>
  </w:style>
  <w:style w:styleId="Style_59_ch" w:type="character">
    <w:name w:val="Style6"/>
    <w:basedOn w:val="Style_3_ch"/>
    <w:link w:val="Style_59"/>
    <w:rPr>
      <w:rFonts w:ascii="Calibri" w:hAnsi="Calibri"/>
    </w:rPr>
  </w:style>
  <w:style w:styleId="Style_60" w:type="paragraph">
    <w:name w:val="toc 8"/>
    <w:link w:val="Style_60_ch"/>
    <w:uiPriority w:val="39"/>
    <w:pPr>
      <w:ind w:firstLine="0" w:left="1400"/>
    </w:pPr>
  </w:style>
  <w:style w:styleId="Style_60_ch" w:type="character">
    <w:name w:val="toc 8"/>
    <w:link w:val="Style_60"/>
  </w:style>
  <w:style w:styleId="Style_61" w:type="paragraph">
    <w:name w:val="Style53"/>
    <w:basedOn w:val="Style_3"/>
    <w:link w:val="Style_61_ch"/>
    <w:pPr>
      <w:widowControl w:val="0"/>
      <w:spacing w:line="346" w:lineRule="exact"/>
      <w:ind w:firstLine="706" w:left="0"/>
      <w:jc w:val="both"/>
    </w:pPr>
  </w:style>
  <w:style w:styleId="Style_61_ch" w:type="character">
    <w:name w:val="Style53"/>
    <w:basedOn w:val="Style_3_ch"/>
    <w:link w:val="Style_61"/>
  </w:style>
  <w:style w:styleId="Style_62" w:type="paragraph">
    <w:name w:val="Font Style31"/>
    <w:basedOn w:val="Style_6"/>
    <w:link w:val="Style_62_ch"/>
    <w:rPr>
      <w:rFonts w:ascii="Times New Roman" w:hAnsi="Times New Roman"/>
      <w:i w:val="1"/>
      <w:sz w:val="22"/>
    </w:rPr>
  </w:style>
  <w:style w:styleId="Style_62_ch" w:type="character">
    <w:name w:val="Font Style31"/>
    <w:basedOn w:val="Style_6_ch"/>
    <w:link w:val="Style_62"/>
    <w:rPr>
      <w:rFonts w:ascii="Times New Roman" w:hAnsi="Times New Roman"/>
      <w:i w:val="1"/>
      <w:sz w:val="22"/>
    </w:rPr>
  </w:style>
  <w:style w:styleId="Style_63" w:type="paragraph">
    <w:name w:val="Font Style80"/>
    <w:basedOn w:val="Style_6"/>
    <w:link w:val="Style_63_ch"/>
    <w:rPr>
      <w:rFonts w:ascii="Times New Roman" w:hAnsi="Times New Roman"/>
      <w:sz w:val="26"/>
    </w:rPr>
  </w:style>
  <w:style w:styleId="Style_63_ch" w:type="character">
    <w:name w:val="Font Style80"/>
    <w:basedOn w:val="Style_6_ch"/>
    <w:link w:val="Style_63"/>
    <w:rPr>
      <w:rFonts w:ascii="Times New Roman" w:hAnsi="Times New Roman"/>
      <w:sz w:val="26"/>
    </w:rPr>
  </w:style>
  <w:style w:styleId="Style_64" w:type="paragraph">
    <w:name w:val="toc 5"/>
    <w:link w:val="Style_64_ch"/>
    <w:uiPriority w:val="39"/>
    <w:pPr>
      <w:ind w:firstLine="0" w:left="800"/>
    </w:pPr>
  </w:style>
  <w:style w:styleId="Style_64_ch" w:type="character">
    <w:name w:val="toc 5"/>
    <w:link w:val="Style_64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65" w:type="paragraph">
    <w:name w:val="Основной текст (2)"/>
    <w:basedOn w:val="Style_6"/>
    <w:link w:val="Style_65_ch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styleId="Style_65_ch" w:type="character">
    <w:name w:val="Основной текст (2)"/>
    <w:basedOn w:val="Style_6_ch"/>
    <w:link w:val="Style_65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styleId="Style_66" w:type="paragraph">
    <w:name w:val="Style8"/>
    <w:basedOn w:val="Style_3"/>
    <w:link w:val="Style_66_ch"/>
    <w:pPr>
      <w:widowControl w:val="0"/>
      <w:spacing w:line="465" w:lineRule="exact"/>
      <w:ind w:firstLine="691" w:left="0"/>
      <w:jc w:val="both"/>
    </w:pPr>
  </w:style>
  <w:style w:styleId="Style_66_ch" w:type="character">
    <w:name w:val="Style8"/>
    <w:basedOn w:val="Style_3_ch"/>
    <w:link w:val="Style_66"/>
  </w:style>
  <w:style w:styleId="Style_67" w:type="paragraph">
    <w:name w:val="Subtitle"/>
    <w:link w:val="Style_67_ch"/>
    <w:uiPriority w:val="11"/>
    <w:qFormat/>
    <w:rPr>
      <w:rFonts w:ascii="XO Thames" w:hAnsi="XO Thames"/>
      <w:i w:val="1"/>
      <w:color w:val="616161"/>
      <w:sz w:val="24"/>
    </w:rPr>
  </w:style>
  <w:style w:styleId="Style_67_ch" w:type="character">
    <w:name w:val="Subtitle"/>
    <w:link w:val="Style_67"/>
    <w:rPr>
      <w:rFonts w:ascii="XO Thames" w:hAnsi="XO Thames"/>
      <w:i w:val="1"/>
      <w:color w:val="616161"/>
      <w:sz w:val="24"/>
    </w:rPr>
  </w:style>
  <w:style w:styleId="Style_68" w:type="paragraph">
    <w:name w:val="Plain Text"/>
    <w:basedOn w:val="Style_3"/>
    <w:link w:val="Style_68_ch"/>
    <w:rPr>
      <w:rFonts w:ascii="Calibri" w:hAnsi="Calibri"/>
      <w:sz w:val="22"/>
    </w:rPr>
  </w:style>
  <w:style w:styleId="Style_68_ch" w:type="character">
    <w:name w:val="Plain Text"/>
    <w:basedOn w:val="Style_3_ch"/>
    <w:link w:val="Style_68"/>
    <w:rPr>
      <w:rFonts w:ascii="Calibri" w:hAnsi="Calibri"/>
      <w:sz w:val="22"/>
    </w:rPr>
  </w:style>
  <w:style w:styleId="Style_69" w:type="paragraph">
    <w:name w:val="toc 10"/>
    <w:link w:val="Style_69_ch"/>
    <w:uiPriority w:val="39"/>
    <w:pPr>
      <w:ind w:firstLine="0" w:left="1800"/>
    </w:pPr>
  </w:style>
  <w:style w:styleId="Style_69_ch" w:type="character">
    <w:name w:val="toc 10"/>
    <w:link w:val="Style_69"/>
  </w:style>
  <w:style w:styleId="Style_70" w:type="paragraph">
    <w:name w:val="Title"/>
    <w:link w:val="Style_70_ch"/>
    <w:uiPriority w:val="10"/>
    <w:qFormat/>
    <w:rPr>
      <w:rFonts w:ascii="XO Thames" w:hAnsi="XO Thames"/>
      <w:b w:val="1"/>
      <w:sz w:val="52"/>
    </w:rPr>
  </w:style>
  <w:style w:styleId="Style_70_ch" w:type="character">
    <w:name w:val="Title"/>
    <w:link w:val="Style_70"/>
    <w:rPr>
      <w:rFonts w:ascii="XO Thames" w:hAnsi="XO Thames"/>
      <w:b w:val="1"/>
      <w:sz w:val="52"/>
    </w:rPr>
  </w:style>
  <w:style w:styleId="Style_71" w:type="paragraph">
    <w:name w:val="Font Style73"/>
    <w:basedOn w:val="Style_6"/>
    <w:link w:val="Style_71_ch"/>
    <w:rPr>
      <w:rFonts w:ascii="Times New Roman" w:hAnsi="Times New Roman"/>
      <w:sz w:val="22"/>
    </w:rPr>
  </w:style>
  <w:style w:styleId="Style_71_ch" w:type="character">
    <w:name w:val="Font Style73"/>
    <w:basedOn w:val="Style_6_ch"/>
    <w:link w:val="Style_71"/>
    <w:rPr>
      <w:rFonts w:ascii="Times New Roman" w:hAnsi="Times New Roman"/>
      <w:sz w:val="22"/>
    </w:rPr>
  </w:style>
  <w:style w:styleId="Style_72" w:type="paragraph">
    <w:name w:val="heading 4"/>
    <w:link w:val="Style_7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2_ch" w:type="character">
    <w:name w:val="heading 4"/>
    <w:link w:val="Style_72"/>
    <w:rPr>
      <w:rFonts w:ascii="XO Thames" w:hAnsi="XO Thames"/>
      <w:b w:val="1"/>
      <w:color w:val="595959"/>
      <w:sz w:val="26"/>
    </w:rPr>
  </w:style>
  <w:style w:styleId="Style_73" w:type="paragraph">
    <w:name w:val="Font Style34"/>
    <w:basedOn w:val="Style_6"/>
    <w:link w:val="Style_73_ch"/>
    <w:rPr>
      <w:rFonts w:ascii="Times New Roman" w:hAnsi="Times New Roman"/>
      <w:sz w:val="24"/>
    </w:rPr>
  </w:style>
  <w:style w:styleId="Style_73_ch" w:type="character">
    <w:name w:val="Font Style34"/>
    <w:basedOn w:val="Style_6_ch"/>
    <w:link w:val="Style_73"/>
    <w:rPr>
      <w:rFonts w:ascii="Times New Roman" w:hAnsi="Times New Roman"/>
      <w:sz w:val="24"/>
    </w:rPr>
  </w:style>
  <w:style w:styleId="Style_74" w:type="paragraph">
    <w:name w:val="heading 2"/>
    <w:link w:val="Style_7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74_ch" w:type="character">
    <w:name w:val="heading 2"/>
    <w:link w:val="Style_74"/>
    <w:rPr>
      <w:rFonts w:ascii="XO Thames" w:hAnsi="XO Thames"/>
      <w:b w:val="1"/>
      <w:color w:val="00A0FF"/>
      <w:sz w:val="26"/>
    </w:rPr>
  </w:style>
  <w:style w:styleId="Style_75" w:type="paragraph">
    <w:name w:val="Основной текст2"/>
    <w:basedOn w:val="Style_3"/>
    <w:link w:val="Style_75_ch"/>
    <w:pPr>
      <w:spacing w:line="317" w:lineRule="exact"/>
      <w:ind/>
      <w:jc w:val="both"/>
    </w:pPr>
    <w:rPr>
      <w:color w:val="000000"/>
      <w:sz w:val="28"/>
    </w:rPr>
  </w:style>
  <w:style w:styleId="Style_75_ch" w:type="character">
    <w:name w:val="Основной текст2"/>
    <w:basedOn w:val="Style_3_ch"/>
    <w:link w:val="Style_75"/>
    <w:rPr>
      <w:color w:val="000000"/>
      <w:sz w:val="28"/>
    </w:rPr>
  </w:style>
  <w:style w:styleId="Style_76" w:type="paragraph">
    <w:name w:val="Font Style13"/>
    <w:basedOn w:val="Style_6"/>
    <w:link w:val="Style_76_ch"/>
    <w:rPr>
      <w:rFonts w:ascii="Times New Roman" w:hAnsi="Times New Roman"/>
      <w:sz w:val="22"/>
    </w:rPr>
  </w:style>
  <w:style w:styleId="Style_76_ch" w:type="character">
    <w:name w:val="Font Style13"/>
    <w:basedOn w:val="Style_6_ch"/>
    <w:link w:val="Style_76"/>
    <w:rPr>
      <w:rFonts w:ascii="Times New Roman" w:hAnsi="Times New Roman"/>
      <w:sz w:val="22"/>
    </w:rPr>
  </w:style>
  <w:style w:default="1" w:styleId="Style_7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8" w:type="table">
    <w:name w:val="Table Grid"/>
    <w:basedOn w:val="Style_77"/>
    <w:rPr>
      <w:rFonts w:asciiTheme="minorAsci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9" w:type="table">
    <w:name w:val="TableGrid"/>
    <w:rPr>
      <w:rFonts w:asciiTheme="minorAscii"/>
      <w:sz w:val="22"/>
    </w:r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