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6"/>
          <w:szCs w:val="26"/>
        </w:rPr>
      </w:pPr>
      <w:r>
        <w:rPr>
          <w:sz w:val="26"/>
          <w:szCs w:val="26"/>
        </w:rPr>
      </w:r>
    </w:p>
    <w:p>
      <w:pPr>
        <w:pStyle w:val="Normal"/>
        <w:jc w:val="right"/>
        <w:rPr>
          <w:sz w:val="26"/>
          <w:szCs w:val="26"/>
        </w:rPr>
      </w:pPr>
      <w:r>
        <w:rPr>
          <w:sz w:val="26"/>
          <w:szCs w:val="26"/>
        </w:rPr>
      </w:r>
    </w:p>
    <w:p>
      <w:pPr>
        <w:pStyle w:val="Normal"/>
        <w:spacing w:lineRule="auto" w:line="360"/>
        <w:jc w:val="center"/>
        <w:rPr>
          <w:sz w:val="26"/>
          <w:szCs w:val="26"/>
        </w:rPr>
      </w:pPr>
      <w:r>
        <w:rPr>
          <w:sz w:val="26"/>
          <w:szCs w:val="26"/>
        </w:rPr>
        <w:t xml:space="preserve">ЗАКЛЮЧЕНИЕ </w:t>
      </w:r>
    </w:p>
    <w:p>
      <w:pPr>
        <w:pStyle w:val="Normal"/>
        <w:jc w:val="center"/>
        <w:rPr>
          <w:sz w:val="26"/>
          <w:szCs w:val="26"/>
        </w:rPr>
      </w:pPr>
      <w:r>
        <w:rPr>
          <w:sz w:val="26"/>
          <w:szCs w:val="26"/>
        </w:rPr>
        <w:t>об оценке регулирующего воздействия</w:t>
      </w:r>
    </w:p>
    <w:p>
      <w:pPr>
        <w:pStyle w:val="Normal"/>
        <w:jc w:val="center"/>
        <w:rPr>
          <w:sz w:val="26"/>
          <w:szCs w:val="26"/>
        </w:rPr>
      </w:pPr>
      <w:r>
        <w:rPr>
          <w:sz w:val="26"/>
          <w:szCs w:val="26"/>
        </w:rPr>
        <w:t xml:space="preserve">на проект федерального закона «О внесении изменений в Федеральный закон </w:t>
      </w:r>
    </w:p>
    <w:p>
      <w:pPr>
        <w:pStyle w:val="Normal"/>
        <w:jc w:val="center"/>
        <w:rPr>
          <w:sz w:val="26"/>
          <w:szCs w:val="26"/>
        </w:rPr>
      </w:pPr>
      <w:r>
        <w:rPr>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pPr>
        <w:pStyle w:val="Normal"/>
        <w:spacing w:lineRule="auto" w:line="348"/>
        <w:ind w:firstLine="709"/>
        <w:jc w:val="both"/>
        <w:rPr>
          <w:sz w:val="26"/>
          <w:szCs w:val="26"/>
        </w:rPr>
      </w:pPr>
      <w:r>
        <w:rPr>
          <w:sz w:val="26"/>
          <w:szCs w:val="26"/>
        </w:rPr>
      </w:r>
    </w:p>
    <w:p>
      <w:pPr>
        <w:pStyle w:val="Normal"/>
        <w:spacing w:lineRule="auto" w:line="360"/>
        <w:ind w:firstLine="709"/>
        <w:jc w:val="both"/>
        <w:rPr/>
      </w:pPr>
      <w:r>
        <w:rPr>
          <w:sz w:val="26"/>
          <w:szCs w:val="26"/>
        </w:rPr>
        <w:t xml:space="preserve">Минэкономразвития России в соответствии с разделом </w:t>
      </w:r>
      <w:r>
        <w:rPr>
          <w:sz w:val="26"/>
          <w:szCs w:val="26"/>
          <w:lang w:val="en-US"/>
        </w:rPr>
        <w:t>I</w:t>
      </w:r>
      <w:r>
        <w:rPr>
          <w:sz w:val="26"/>
          <w:szCs w:val="26"/>
        </w:rPr>
        <w:t xml:space="preserve">V </w:t>
      </w:r>
      <w:hyperlink r:id="rId2">
        <w:r>
          <w:rPr>
            <w:rStyle w:val="ListLabel7"/>
            <w:sz w:val="26"/>
            <w:szCs w:val="26"/>
          </w:rPr>
          <w:t>Правил</w:t>
        </w:r>
      </w:hyperlink>
      <w:r>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w:t>
        <w:br/>
        <w:t>и спиртосодержащей продукции и об ограничении потребления (распития) алкогольной продукции» и отдельные законодательные акты Российской Федерации» (далее – проект акта), подготовленный и направленный для подготовки настоящего заключения Минфином России (далее – разработчик), и сообщает следующее.</w:t>
      </w:r>
    </w:p>
    <w:p>
      <w:pPr>
        <w:pStyle w:val="Normal"/>
        <w:spacing w:lineRule="auto" w:line="360"/>
        <w:ind w:firstLine="709"/>
        <w:jc w:val="both"/>
        <w:rPr>
          <w:sz w:val="26"/>
          <w:szCs w:val="26"/>
        </w:rPr>
      </w:pPr>
      <w:r>
        <w:rPr>
          <w:sz w:val="26"/>
          <w:szCs w:val="26"/>
        </w:rPr>
        <w:t>Проект акта направлен разработчиком для подготовки настоящего заключения впервые.</w:t>
      </w:r>
    </w:p>
    <w:p>
      <w:pPr>
        <w:pStyle w:val="Normal"/>
        <w:spacing w:lineRule="auto" w:line="360"/>
        <w:ind w:firstLine="709"/>
        <w:jc w:val="both"/>
        <w:rPr/>
      </w:pPr>
      <w:r>
        <w:rPr>
          <w:sz w:val="26"/>
          <w:szCs w:val="26"/>
        </w:rPr>
        <w:t xml:space="preserve">По результатам рассмотрения установлено, что при подготовке проекта акта процедуры, предусмотренные </w:t>
      </w:r>
      <w:hyperlink r:id="rId3">
        <w:r>
          <w:rPr>
            <w:rStyle w:val="ListLabel7"/>
            <w:sz w:val="26"/>
            <w:szCs w:val="26"/>
          </w:rPr>
          <w:t>пунктами 9</w:t>
        </w:r>
      </w:hyperlink>
      <w:r>
        <w:rPr>
          <w:sz w:val="26"/>
          <w:szCs w:val="26"/>
        </w:rPr>
        <w:t xml:space="preserve"> - </w:t>
      </w:r>
      <w:hyperlink r:id="rId4">
        <w:r>
          <w:rPr>
            <w:rStyle w:val="ListLabel7"/>
            <w:sz w:val="26"/>
            <w:szCs w:val="26"/>
          </w:rPr>
          <w:t>23</w:t>
        </w:r>
      </w:hyperlink>
      <w:r>
        <w:rPr>
          <w:sz w:val="26"/>
          <w:szCs w:val="26"/>
        </w:rPr>
        <w:t xml:space="preserve"> правил проведения оценки регулирующего воздействия, разработчиком соблюдены. </w:t>
      </w:r>
    </w:p>
    <w:p>
      <w:pPr>
        <w:pStyle w:val="Normal"/>
        <w:spacing w:lineRule="auto" w:line="360"/>
        <w:ind w:firstLine="709"/>
        <w:jc w:val="both"/>
        <w:rPr/>
      </w:pPr>
      <w:r>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(далее – официальный сайт) (</w:t>
      </w:r>
      <w:r>
        <w:rPr>
          <w:sz w:val="26"/>
          <w:szCs w:val="26"/>
          <w:lang w:val="en-US"/>
        </w:rPr>
        <w:t>ID</w:t>
      </w:r>
      <w:r>
        <w:rPr>
          <w:sz w:val="26"/>
          <w:szCs w:val="26"/>
        </w:rPr>
        <w:t xml:space="preserve"> проекта акта 02/0</w:t>
      </w:r>
      <w:r>
        <w:rPr>
          <w:sz w:val="26"/>
          <w:szCs w:val="26"/>
        </w:rPr>
        <w:t>4</w:t>
      </w:r>
      <w:r>
        <w:rPr>
          <w:sz w:val="26"/>
          <w:szCs w:val="26"/>
        </w:rPr>
        <w:t>/0</w:t>
      </w:r>
      <w:r>
        <w:rPr>
          <w:sz w:val="26"/>
          <w:szCs w:val="26"/>
        </w:rPr>
        <w:t>4</w:t>
      </w:r>
      <w:r>
        <w:rPr>
          <w:sz w:val="26"/>
          <w:szCs w:val="26"/>
        </w:rPr>
        <w:t>-19/000</w:t>
      </w:r>
      <w:r>
        <w:rPr>
          <w:sz w:val="26"/>
          <w:szCs w:val="26"/>
        </w:rPr>
        <w:t>90988</w:t>
      </w:r>
      <w:r>
        <w:rPr>
          <w:sz w:val="26"/>
          <w:szCs w:val="26"/>
        </w:rPr>
        <w:t>).</w:t>
      </w:r>
    </w:p>
    <w:p>
      <w:pPr>
        <w:pStyle w:val="Normal"/>
        <w:spacing w:lineRule="auto" w:line="360"/>
        <w:ind w:firstLine="709"/>
        <w:jc w:val="both"/>
        <w:rPr>
          <w:sz w:val="26"/>
          <w:szCs w:val="26"/>
        </w:rPr>
      </w:pPr>
      <w:r>
        <w:rPr>
          <w:sz w:val="26"/>
          <w:szCs w:val="26"/>
        </w:rPr>
        <w:t xml:space="preserve">Разработчиком проведены публичные обсуждения проекта акта и сводного отчета </w:t>
        <w:br/>
        <w:t xml:space="preserve">в срок с 26 апреля по 23 мая 2019 г., с 18 июня по 1 июля 2019 года. </w:t>
      </w:r>
    </w:p>
    <w:p>
      <w:pPr>
        <w:pStyle w:val="Normal"/>
        <w:spacing w:lineRule="auto" w:line="360"/>
        <w:ind w:firstLine="709"/>
        <w:jc w:val="both"/>
        <w:rPr>
          <w:sz w:val="26"/>
          <w:szCs w:val="26"/>
        </w:rPr>
      </w:pPr>
      <w:r>
        <w:rPr>
          <w:sz w:val="26"/>
          <w:szCs w:val="26"/>
        </w:rPr>
        <w:t>Разработчиком 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pPr>
        <w:pStyle w:val="Normal"/>
        <w:spacing w:lineRule="auto" w:line="360"/>
        <w:ind w:firstLine="709"/>
        <w:jc w:val="both"/>
        <w:rPr>
          <w:sz w:val="26"/>
          <w:szCs w:val="26"/>
        </w:rPr>
      </w:pPr>
      <w:r>
        <w:rPr>
          <w:sz w:val="26"/>
          <w:szCs w:val="26"/>
        </w:rPr>
        <w:t xml:space="preserve">В соответствии с пунктом 28 Правил Минэкономразвития России с 9 по 18 июля 2019 г. провело дополнительные публичные консультации. </w:t>
      </w:r>
    </w:p>
    <w:p>
      <w:pPr>
        <w:pStyle w:val="Normal"/>
        <w:spacing w:lineRule="auto" w:line="360"/>
        <w:ind w:firstLine="709"/>
        <w:jc w:val="both"/>
        <w:rPr>
          <w:sz w:val="26"/>
          <w:szCs w:val="26"/>
        </w:rPr>
      </w:pPr>
      <w:r>
        <w:rPr>
          <w:sz w:val="26"/>
          <w:szCs w:val="26"/>
        </w:rPr>
        <w:t xml:space="preserve">Соответствующие запросы были направлены в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w:t>
        <w:br/>
        <w:t>и другие.</w:t>
      </w:r>
    </w:p>
    <w:p>
      <w:pPr>
        <w:pStyle w:val="Normal"/>
        <w:spacing w:lineRule="auto" w:line="360"/>
        <w:ind w:firstLine="709"/>
        <w:jc w:val="both"/>
        <w:rPr>
          <w:sz w:val="26"/>
          <w:szCs w:val="26"/>
        </w:rPr>
      </w:pPr>
      <w:r>
        <w:rPr>
          <w:sz w:val="26"/>
          <w:szCs w:val="26"/>
        </w:rPr>
        <w:t xml:space="preserve">По результатам публичных консультаций ООО «Кубань-Вино», АО «Татспиртпром» сообщили об отсутствии предложений и замечаний, ООО «Кировский биохимический завод», СРО Союз операторов железнодорожного транспорта представили замечания </w:t>
        <w:br/>
        <w:t>и предложения (справка прилагается).</w:t>
      </w:r>
    </w:p>
    <w:p>
      <w:pPr>
        <w:pStyle w:val="Normal"/>
        <w:spacing w:lineRule="auto" w:line="360"/>
        <w:ind w:firstLine="709"/>
        <w:jc w:val="both"/>
        <w:rPr>
          <w:sz w:val="26"/>
          <w:szCs w:val="26"/>
        </w:rPr>
      </w:pPr>
      <w:r>
        <w:rPr>
          <w:sz w:val="26"/>
          <w:szCs w:val="26"/>
        </w:rPr>
        <w:t xml:space="preserve">Проектом акта предусмотрены изменения, касающиеся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оснащения транспорта специальными техническими средствами регистрации в автоматическом режиме движения, а также изменения в части порядка выдачи федеральных специальных </w:t>
        <w:br/>
        <w:t xml:space="preserve">и акцизных марок, в том числе предполагающие упразднение акцизных марок </w:t>
        <w:br/>
        <w:t xml:space="preserve">в отношении алкогольной продукции, ввозимой на территорию Российской Федерации, </w:t>
        <w:br/>
        <w:t xml:space="preserve">с закреплением за Росалкогольрегулированием функций по выдаче федеральных специальных марок в отношении алкогольной продукции, ввозимой на территорию Российской Федерации, при сохранении за ФТС России полномочий по осуществлению контроля за маркировкой алкогольной продукции федеральными специальными марками </w:t>
        <w:br/>
        <w:t>в отношении алкогольной продукции, ввозимой на территорию Российской Федерации.</w:t>
      </w:r>
    </w:p>
    <w:p>
      <w:pPr>
        <w:pStyle w:val="Normal"/>
        <w:spacing w:lineRule="auto" w:line="360"/>
        <w:ind w:firstLine="709"/>
        <w:jc w:val="both"/>
        <w:rPr>
          <w:sz w:val="26"/>
          <w:szCs w:val="26"/>
        </w:rPr>
      </w:pPr>
      <w:r>
        <w:rPr>
          <w:sz w:val="26"/>
          <w:szCs w:val="26"/>
        </w:rPr>
        <w:t>Обращаем внимание на следующие риски применения проектируемого регулирования в представленной редакции.</w:t>
      </w:r>
    </w:p>
    <w:p>
      <w:pPr>
        <w:pStyle w:val="Normal"/>
        <w:numPr>
          <w:ilvl w:val="0"/>
          <w:numId w:val="1"/>
        </w:numPr>
        <w:spacing w:lineRule="auto" w:line="360"/>
        <w:ind w:left="0" w:firstLine="709"/>
        <w:jc w:val="both"/>
        <w:rPr/>
      </w:pPr>
      <w:r>
        <w:rPr>
          <w:sz w:val="26"/>
          <w:szCs w:val="26"/>
        </w:rPr>
        <w:t xml:space="preserve">Пунктом 4 статьи 1 проекта акта проектируется новая редакция абзаца четвертого пункта 3 статьи 9 Федерального закона от 22 ноября 1995 г. № 171-ФЗ </w:t>
        <w:b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 171-ФЗ), согласно которой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железнодорожным подвижным составом только в вагонах-цистернах или с использованием танк-контейнеров, автомобильным транспортом при условии оснащения таких железнодорожных вагонов-цистерн, танк-контейнеров и автомобильного транспорта </w:t>
      </w:r>
      <w:hyperlink r:id="rId5">
        <w:r>
          <w:rPr>
            <w:rStyle w:val="ListLabel7"/>
            <w:sz w:val="26"/>
            <w:szCs w:val="26"/>
          </w:rPr>
          <w:t>специальными техническими средствами</w:t>
        </w:r>
      </w:hyperlink>
      <w:r>
        <w:rPr>
          <w:sz w:val="26"/>
          <w:szCs w:val="26"/>
        </w:rPr>
        <w:t xml:space="preserve"> регистрации в автоматическом режиме движения, которые обеспечивают передачу данных о перемещении по территории Российской Федерации, в том числе данных об их местоположении, пройденном маршруте, времени и местах стоянок, по спутниковым навигационным системам </w:t>
        <w:br/>
        <w:t>в автоматизированную систему контроля перевозок этилового спирта и спиртосодержащей продукции на территории Российской Федерации».</w:t>
      </w:r>
    </w:p>
    <w:p>
      <w:pPr>
        <w:pStyle w:val="Normal"/>
        <w:numPr>
          <w:ilvl w:val="1"/>
          <w:numId w:val="1"/>
        </w:numPr>
        <w:spacing w:lineRule="auto" w:line="360"/>
        <w:ind w:left="0" w:firstLine="709"/>
        <w:jc w:val="both"/>
        <w:rPr>
          <w:sz w:val="26"/>
          <w:szCs w:val="26"/>
        </w:rPr>
      </w:pPr>
      <w:r>
        <w:rPr>
          <w:sz w:val="26"/>
          <w:szCs w:val="26"/>
        </w:rPr>
        <w:t xml:space="preserve">Обращаем внимание, что проектируемая редакция ограничивает возможности для хозяйствующих субъектов в части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иными видами транспорта, </w:t>
        <w:br/>
        <w:t>кроме железнодорожного (в вагонах-цистернах или с использованием танк-контейнеров) или автомобильного. При этом разработчиком не приведены обоснования такого ограничения.</w:t>
      </w:r>
    </w:p>
    <w:p>
      <w:pPr>
        <w:pStyle w:val="Normal"/>
        <w:spacing w:lineRule="auto" w:line="360"/>
        <w:ind w:firstLine="709"/>
        <w:jc w:val="both"/>
        <w:rPr>
          <w:sz w:val="26"/>
          <w:szCs w:val="26"/>
        </w:rPr>
      </w:pPr>
      <w:r>
        <w:rPr>
          <w:sz w:val="26"/>
          <w:szCs w:val="26"/>
        </w:rPr>
        <w:t xml:space="preserve">Между тем хозяйствующие субъекты для транспортировки указанных видов продукции используют также речной/морской транспорт. Одновременно постановлением Правительства Российской Федерации от 28 июня 2012 г. № 648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предусмотрена также перевозка соответствующей продукции воздушным транспортом. </w:t>
      </w:r>
    </w:p>
    <w:p>
      <w:pPr>
        <w:pStyle w:val="Normal"/>
        <w:spacing w:lineRule="auto" w:line="360"/>
        <w:ind w:firstLine="709"/>
        <w:jc w:val="both"/>
        <w:rPr>
          <w:sz w:val="26"/>
          <w:szCs w:val="26"/>
        </w:rPr>
      </w:pPr>
      <w:r>
        <w:rPr>
          <w:sz w:val="26"/>
          <w:szCs w:val="26"/>
        </w:rPr>
        <w:t>Представляется необходимым предусмотреть возможность всех разрешенных видов транспорта для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при доработке редакции пункта 4 статьи 1 проекта акта.</w:t>
      </w:r>
    </w:p>
    <w:p>
      <w:pPr>
        <w:pStyle w:val="Normal"/>
        <w:numPr>
          <w:ilvl w:val="1"/>
          <w:numId w:val="1"/>
        </w:numPr>
        <w:spacing w:lineRule="auto" w:line="360"/>
        <w:ind w:left="0" w:firstLine="709"/>
        <w:jc w:val="both"/>
        <w:rPr>
          <w:sz w:val="26"/>
          <w:szCs w:val="26"/>
        </w:rPr>
      </w:pPr>
      <w:r>
        <w:rPr>
          <w:sz w:val="26"/>
          <w:szCs w:val="26"/>
        </w:rPr>
        <w:t xml:space="preserve">Проектируемая редакция ограничивает использование иных видов железнодорожных вагонов, кроме вагонов-цистерн и подвижного состава </w:t>
        <w:br/>
        <w:t xml:space="preserve">с использованием танк-контейнеров для перевозки этилового спирта (в том числе денатурата). Между тем согласно данным публичных консультаций перевозка </w:t>
        <w:br/>
        <w:t xml:space="preserve">этилового спирта (в том числе денатурата), упакованного в бочки, бидоны, бутыли, </w:t>
        <w:br/>
        <w:t xml:space="preserve">в железнодорожных контейнерах, крытых вагонах в настоящее время распространена. Одновременно производители указанной продукции не всегда имеют площадки </w:t>
        <w:br/>
        <w:t>для погрузки/разгрузки вагонов-цистерн и танк-контейнеров.</w:t>
      </w:r>
    </w:p>
    <w:p>
      <w:pPr>
        <w:pStyle w:val="Normal"/>
        <w:spacing w:lineRule="auto" w:line="360"/>
        <w:ind w:firstLine="709"/>
        <w:jc w:val="both"/>
        <w:rPr>
          <w:sz w:val="26"/>
          <w:szCs w:val="26"/>
        </w:rPr>
      </w:pPr>
      <w:r>
        <w:rPr>
          <w:sz w:val="26"/>
          <w:szCs w:val="26"/>
        </w:rPr>
        <w:t xml:space="preserve">Таким образом, реализация проектируемой нормы может привести к риску приостановления отгрузок, существенным издержкам хозяйствующих субъектов по изменению транспортной логистики, пересмотру договоров поставки, а также увеличению стоимости продукции в связи с возрастающими затратами на доставку. </w:t>
      </w:r>
    </w:p>
    <w:p>
      <w:pPr>
        <w:pStyle w:val="Normal"/>
        <w:numPr>
          <w:ilvl w:val="0"/>
          <w:numId w:val="1"/>
        </w:numPr>
        <w:spacing w:lineRule="auto" w:line="360"/>
        <w:ind w:left="0" w:firstLine="709"/>
        <w:jc w:val="both"/>
        <w:rPr>
          <w:sz w:val="26"/>
          <w:szCs w:val="26"/>
        </w:rPr>
      </w:pPr>
      <w:r>
        <w:rPr>
          <w:sz w:val="26"/>
          <w:szCs w:val="26"/>
        </w:rPr>
        <w:t>Согласно пункту 14 проектируемой статьи 12 Закона № 171-ФЗ алкогольная продукция, произведенная за пределами территории Российской Федерации, на которую получены федеральные специальные марки, должна быть ввезена на территорию Российской Федерации в течение 9 месяцев со дня получения таких марок заявителем.</w:t>
      </w:r>
    </w:p>
    <w:p>
      <w:pPr>
        <w:pStyle w:val="Normal"/>
        <w:spacing w:lineRule="auto" w:line="360"/>
        <w:ind w:firstLine="709"/>
        <w:jc w:val="both"/>
        <w:rPr>
          <w:sz w:val="26"/>
          <w:szCs w:val="26"/>
        </w:rPr>
      </w:pPr>
      <w:r>
        <w:rPr>
          <w:sz w:val="26"/>
          <w:szCs w:val="26"/>
        </w:rPr>
        <w:t xml:space="preserve">Обращаем внимание, что согласно пункту 15 приказа ФТС России от 7 октября </w:t>
        <w:br/>
        <w:t xml:space="preserve">2010 г. № 1849 «Об утверждении Правил приобретения акцизных марок для маркировки алкогольной продукции и контроля за их использованием» «обязательства, указанные </w:t>
        <w:br/>
        <w:t xml:space="preserve">в пункте 14 настоящих Правил, должны быть исполнены организацией в срок, </w:t>
        <w:br/>
        <w:t>не превышающий девяти месяцев, и до истечения срока действия:</w:t>
      </w:r>
    </w:p>
    <w:p>
      <w:pPr>
        <w:pStyle w:val="Normal"/>
        <w:spacing w:lineRule="auto" w:line="360"/>
        <w:ind w:firstLine="709"/>
        <w:jc w:val="both"/>
        <w:rPr>
          <w:sz w:val="26"/>
          <w:szCs w:val="26"/>
        </w:rPr>
      </w:pPr>
      <w:r>
        <w:rPr>
          <w:sz w:val="26"/>
          <w:szCs w:val="26"/>
        </w:rPr>
        <w:t>внешнеторгового договора, во исполнение которого приобретаются акцизные марки;</w:t>
      </w:r>
    </w:p>
    <w:p>
      <w:pPr>
        <w:pStyle w:val="Normal"/>
        <w:spacing w:lineRule="auto" w:line="360"/>
        <w:ind w:firstLine="709"/>
        <w:jc w:val="both"/>
        <w:rPr>
          <w:sz w:val="26"/>
          <w:szCs w:val="26"/>
        </w:rPr>
      </w:pPr>
      <w:r>
        <w:rPr>
          <w:sz w:val="26"/>
          <w:szCs w:val="26"/>
        </w:rPr>
        <w:t>лицензии, указанной в подпункте 5 пункта 4 настоящих Правил.</w:t>
      </w:r>
    </w:p>
    <w:p>
      <w:pPr>
        <w:pStyle w:val="Normal"/>
        <w:spacing w:lineRule="auto" w:line="360"/>
        <w:ind w:firstLine="709"/>
        <w:jc w:val="both"/>
        <w:rPr>
          <w:sz w:val="26"/>
          <w:szCs w:val="26"/>
        </w:rPr>
      </w:pPr>
      <w:r>
        <w:rPr>
          <w:sz w:val="26"/>
          <w:szCs w:val="26"/>
        </w:rPr>
        <w:t>Срок исполнения действий, указанных в обязательстве организации, может быть продлен в соответствии с настоящими Правилами».</w:t>
      </w:r>
    </w:p>
    <w:p>
      <w:pPr>
        <w:pStyle w:val="Normal"/>
        <w:spacing w:lineRule="auto" w:line="360"/>
        <w:ind w:firstLine="709"/>
        <w:jc w:val="both"/>
        <w:rPr>
          <w:sz w:val="26"/>
          <w:szCs w:val="26"/>
        </w:rPr>
      </w:pPr>
      <w:r>
        <w:rPr>
          <w:sz w:val="26"/>
          <w:szCs w:val="26"/>
        </w:rPr>
        <w:t xml:space="preserve">Таким образом, действующий порядок выдачи акцизных марок для импортируемой алкогольной продукции предусматривает возможность продления 9-месячного периода </w:t>
        <w:br/>
        <w:t xml:space="preserve">на срок, не превышающий срока действия внешнеторгового договора, во исполнение которого приобретаются акцизные марки и соответствующей лицензии. </w:t>
      </w:r>
    </w:p>
    <w:p>
      <w:pPr>
        <w:pStyle w:val="Normal"/>
        <w:spacing w:lineRule="auto" w:line="360"/>
        <w:ind w:firstLine="709"/>
        <w:jc w:val="both"/>
        <w:rPr>
          <w:sz w:val="26"/>
          <w:szCs w:val="26"/>
        </w:rPr>
      </w:pPr>
      <w:r>
        <w:rPr>
          <w:sz w:val="26"/>
          <w:szCs w:val="26"/>
        </w:rPr>
        <w:t xml:space="preserve">Обращаем внимание, что при исполнении внешнеторгового договора о поставке алкогольной продукции проектируемого девятимесячного срока может оказаться недостаточно. Отсутствие возможности продления периода поставки продукции </w:t>
        <w:br/>
        <w:t>с нанесенными на нее акцизными марками на территорию Российской Федерации может привести к существенным издержкам хозяйствующих субъектов-импортеров алкогольной продукции.</w:t>
      </w:r>
    </w:p>
    <w:p>
      <w:pPr>
        <w:pStyle w:val="Normal"/>
        <w:numPr>
          <w:ilvl w:val="0"/>
          <w:numId w:val="1"/>
        </w:numPr>
        <w:spacing w:lineRule="auto" w:line="360"/>
        <w:ind w:left="0" w:firstLine="709"/>
        <w:jc w:val="both"/>
        <w:rPr>
          <w:sz w:val="26"/>
          <w:szCs w:val="26"/>
        </w:rPr>
      </w:pPr>
      <w:r>
        <w:rPr>
          <w:sz w:val="26"/>
          <w:szCs w:val="26"/>
        </w:rPr>
        <w:t xml:space="preserve">Несмотря на то, что проектом акта предусматривается установление переходного периода по оснащению железнодорожного подвижного состава оборудованием для учета объема спиртосодержащей продукции при осуществлении перевозки, а также специальными техническими средствами регистрации </w:t>
        <w:br/>
        <w:t xml:space="preserve">в автоматическом режиме движения транспортной единицы, предлагаемый срок </w:t>
        <w:br/>
        <w:t xml:space="preserve">может оказаться недостаточным для внесения изменений в конструкторскую документацию на железнодорожный подвижной состав, а также разработку требований </w:t>
        <w:br/>
        <w:t>к соответствующему оборудованию.</w:t>
      </w:r>
    </w:p>
    <w:p>
      <w:pPr>
        <w:pStyle w:val="Normal"/>
        <w:spacing w:lineRule="auto" w:line="360"/>
        <w:ind w:firstLine="709"/>
        <w:jc w:val="both"/>
        <w:rPr>
          <w:sz w:val="26"/>
          <w:szCs w:val="26"/>
        </w:rPr>
      </w:pPr>
      <w:r>
        <w:rPr>
          <w:sz w:val="26"/>
          <w:szCs w:val="26"/>
        </w:rPr>
        <w:t xml:space="preserve">Кроме того, оснащение железнодорожного подвижного состава потребует значительных затрат субъектов предпринимательской и иной деятельности. </w:t>
        <w:br/>
        <w:t xml:space="preserve">По информации, представленной субъектами предпринимательской деятельности, </w:t>
        <w:br/>
        <w:t xml:space="preserve">в настоящее время железнодорожным транспортом ежегодно перевозится порядка </w:t>
        <w:br/>
        <w:t xml:space="preserve">4 млн. тонн спиртосодержащей продукции. При этом для таких перевозок используется порядка 12-13 тысяч единиц железнодорожного подвижного состава. Учитывая, что ориентировочная стоимость необходимого оборудования может составить порядка </w:t>
        <w:br/>
        <w:t>2,5 млн. рублей</w:t>
      </w:r>
      <w:r>
        <w:rPr>
          <w:rStyle w:val="FootnoteCharacters"/>
          <w:rStyle w:val="Style17"/>
          <w:sz w:val="26"/>
          <w:szCs w:val="26"/>
        </w:rPr>
        <w:footnoteReference w:id="2"/>
      </w:r>
      <w:r>
        <w:rPr>
          <w:sz w:val="26"/>
          <w:szCs w:val="26"/>
        </w:rPr>
        <w:t xml:space="preserve"> на одну, например, железнодорожную цистерну, суммарные затраты </w:t>
        <w:br/>
        <w:t>на техническое перевооружение могут составить более 31 млрд. рублей</w:t>
      </w:r>
      <w:r>
        <w:rPr>
          <w:rStyle w:val="FootnoteCharacters"/>
          <w:rStyle w:val="Style17"/>
          <w:sz w:val="26"/>
          <w:szCs w:val="26"/>
        </w:rPr>
        <w:footnoteReference w:id="3"/>
      </w:r>
      <w:r>
        <w:rPr>
          <w:sz w:val="26"/>
          <w:szCs w:val="26"/>
        </w:rPr>
        <w:t>.</w:t>
      </w:r>
    </w:p>
    <w:p>
      <w:pPr>
        <w:pStyle w:val="Normal"/>
        <w:spacing w:lineRule="auto" w:line="360"/>
        <w:ind w:firstLine="709"/>
        <w:jc w:val="both"/>
        <w:rPr>
          <w:sz w:val="26"/>
          <w:szCs w:val="26"/>
        </w:rPr>
      </w:pPr>
      <w:r>
        <w:rPr>
          <w:sz w:val="26"/>
          <w:szCs w:val="26"/>
        </w:rPr>
        <w:t xml:space="preserve">Таким образом, с учетом высоких затрат субъектов предпринимательской деятельности полагаем необходимым проведение дополнительного анализа возможности оборудования железнодорожного подвижного состава в предлагаемые сроки, в том числе наличия и доступности оборудования, а также экономической целесообразности внедрения такого оборудования в сжатые сроки. </w:t>
      </w:r>
    </w:p>
    <w:p>
      <w:pPr>
        <w:pStyle w:val="Normal"/>
        <w:numPr>
          <w:ilvl w:val="0"/>
          <w:numId w:val="1"/>
        </w:numPr>
        <w:spacing w:lineRule="auto" w:line="360"/>
        <w:ind w:left="0" w:firstLine="709"/>
        <w:jc w:val="both"/>
        <w:rPr>
          <w:sz w:val="26"/>
          <w:szCs w:val="26"/>
        </w:rPr>
      </w:pPr>
      <w:r>
        <w:rPr>
          <w:sz w:val="26"/>
          <w:szCs w:val="26"/>
        </w:rPr>
        <w:t xml:space="preserve">Дополнительно отмечаем, что письмом Минэкономразвития России </w:t>
        <w:br/>
        <w:t xml:space="preserve">от 22 сентября 2018 г. № 27199-ВЖ/Д26и в Минфин России было направлено отрицательное заключение об оценке регулирующего воздействия на проект постановления Правительства Российской Федерации «О внесении изменений в Правила ведения автоматизированной системы контроля перевозок этилового спирта </w:t>
        <w:br/>
        <w:t xml:space="preserve">и спиртосодержащей продукции на территории Российской Федерации, утвержденные постановлением Правительства Российской Федерации от 6 июля 2012 г. № 688» </w:t>
        <w:br/>
        <w:t xml:space="preserve">(ID проекта 02/07/02-18/00078484), пунктом 3 которого была отмечена целесообразность разработки федерального закона, устраняющего дублирование в части передачи информации о перемещении спиртосодержащей продукции железнодорожным подвижным составом: с одной стороны указанные данные автоматически направляются в ЕГАИС </w:t>
        <w:br/>
        <w:t xml:space="preserve">с помощью технических средств, с другой – указанную информацию направляет </w:t>
        <w:br/>
        <w:t>ОАО «РЖД».</w:t>
      </w:r>
    </w:p>
    <w:p>
      <w:pPr>
        <w:pStyle w:val="Normal"/>
        <w:spacing w:lineRule="auto" w:line="360"/>
        <w:ind w:firstLine="709"/>
        <w:jc w:val="both"/>
        <w:rPr>
          <w:sz w:val="26"/>
          <w:szCs w:val="26"/>
        </w:rPr>
      </w:pPr>
      <w:r>
        <w:rPr>
          <w:sz w:val="26"/>
          <w:szCs w:val="26"/>
        </w:rPr>
        <w:t xml:space="preserve">Обращаем внимание, что проектом акта указанное замечание не урегулировано. </w:t>
      </w:r>
    </w:p>
    <w:p>
      <w:pPr>
        <w:pStyle w:val="Normal"/>
        <w:spacing w:lineRule="auto" w:line="360"/>
        <w:ind w:firstLine="709"/>
        <w:jc w:val="both"/>
        <w:rPr>
          <w:sz w:val="26"/>
          <w:szCs w:val="26"/>
        </w:rPr>
      </w:pPr>
      <w:r>
        <w:rPr>
          <w:sz w:val="26"/>
          <w:szCs w:val="26"/>
        </w:rPr>
        <w:t xml:space="preserve">На основе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 а также о наличии положений, вводящих избыточные обязанности, запреты и ограничения для физических </w:t>
        <w:br/>
        <w:t xml:space="preserve">и юридических лиц в сфере предпринимательской и иной экономической деятельности </w:t>
        <w:br/>
        <w:t xml:space="preserve">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w:t>
        <w:br/>
        <w:t xml:space="preserve">и иной экономической деятельности, а также бюджетов всех уровней бюджетной системы </w:t>
        <w:br/>
        <w:t>Российской Федерации.</w:t>
      </w:r>
    </w:p>
    <w:p>
      <w:pPr>
        <w:pStyle w:val="Normal"/>
        <w:spacing w:lineRule="auto" w:line="360"/>
        <w:ind w:firstLine="709"/>
        <w:jc w:val="both"/>
        <w:rPr>
          <w:sz w:val="26"/>
          <w:szCs w:val="26"/>
        </w:rPr>
      </w:pPr>
      <w:r>
        <w:rPr>
          <w:sz w:val="26"/>
          <w:szCs w:val="26"/>
        </w:rPr>
        <w:t>Приложение: на 3 л. в 1 экз.</w:t>
      </w:r>
      <w:r>
        <w:br w:type="page"/>
      </w:r>
    </w:p>
    <w:p>
      <w:pPr>
        <w:pStyle w:val="Normal"/>
        <w:ind w:firstLine="709"/>
        <w:jc w:val="center"/>
        <w:rPr>
          <w:b/>
          <w:b/>
          <w:sz w:val="26"/>
          <w:szCs w:val="26"/>
        </w:rPr>
      </w:pPr>
      <w:r>
        <w:rPr>
          <w:b/>
          <w:sz w:val="26"/>
          <w:szCs w:val="26"/>
        </w:rPr>
        <w:t>Справка о результатах публичных консультаций,</w:t>
      </w:r>
    </w:p>
    <w:p>
      <w:pPr>
        <w:pStyle w:val="Normal"/>
        <w:ind w:firstLine="709"/>
        <w:jc w:val="center"/>
        <w:rPr>
          <w:b/>
          <w:b/>
          <w:sz w:val="26"/>
          <w:szCs w:val="26"/>
        </w:rPr>
      </w:pPr>
      <w:r>
        <w:rPr>
          <w:b/>
          <w:sz w:val="26"/>
          <w:szCs w:val="26"/>
        </w:rPr>
      </w:r>
    </w:p>
    <w:p>
      <w:pPr>
        <w:pStyle w:val="Normal"/>
        <w:ind w:firstLine="709"/>
        <w:jc w:val="center"/>
        <w:rPr>
          <w:b/>
          <w:b/>
          <w:sz w:val="26"/>
          <w:szCs w:val="26"/>
        </w:rPr>
      </w:pPr>
      <w:r>
        <w:rPr>
          <w:b/>
          <w:sz w:val="26"/>
          <w:szCs w:val="26"/>
        </w:rPr>
        <w:t>проведенных в рамках подготовки заключения об оценке регулирующего воздействия на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t>В рамках подготовки заключения об оценке регулирующего воздействия на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(далее – проект акта) Минэкономразвития России были проведены публичные консультации по проекту акта в срок с 9 по 18 июля 2019 г. с целью выявления мнения заинтересованных лиц относительно потенциальных рисков применения предлагаемого проектом акта правового регулирования.</w:t>
      </w:r>
    </w:p>
    <w:p>
      <w:pPr>
        <w:pStyle w:val="Normal"/>
        <w:spacing w:lineRule="auto" w:line="360"/>
        <w:ind w:firstLine="709"/>
        <w:jc w:val="both"/>
        <w:rPr>
          <w:sz w:val="26"/>
          <w:szCs w:val="26"/>
        </w:rPr>
      </w:pPr>
      <w:r>
        <w:rPr>
          <w:sz w:val="26"/>
          <w:szCs w:val="26"/>
        </w:rPr>
        <w:t xml:space="preserve">По результатам публичных консультаций ООО «Кубань-Вино», </w:t>
      </w:r>
    </w:p>
    <w:p>
      <w:pPr>
        <w:pStyle w:val="Normal"/>
        <w:spacing w:lineRule="auto" w:line="360"/>
        <w:ind w:firstLine="709"/>
        <w:jc w:val="both"/>
        <w:rPr>
          <w:sz w:val="26"/>
          <w:szCs w:val="26"/>
        </w:rPr>
      </w:pPr>
      <w:r>
        <w:rPr>
          <w:sz w:val="26"/>
          <w:szCs w:val="26"/>
        </w:rPr>
        <w:t>АО «Татспиртпром» сообщили об отсутствии предложений и замечаний, ООО «Кировский биохимический завод», СРО Союз операторов железнодорожного транспорта представили замечания и предложения.</w:t>
      </w:r>
    </w:p>
    <w:p>
      <w:pPr>
        <w:pStyle w:val="Normal"/>
        <w:spacing w:lineRule="auto" w:line="360"/>
        <w:ind w:firstLine="709"/>
        <w:jc w:val="both"/>
        <w:rPr>
          <w:sz w:val="26"/>
          <w:szCs w:val="26"/>
        </w:rPr>
      </w:pPr>
      <w:r>
        <w:rPr>
          <w:sz w:val="26"/>
          <w:szCs w:val="26"/>
        </w:rPr>
        <w:t>ООО «Кировский биохимический завод»: С 2013г. в результате изменения законодательства в области государственного регулирования оборота этилового спирта произошло ужесточение требований в части перевозки автомобильным транспортом. В результате для доставки этилового спирта объемом свыше 200 декалитров необходимо использовать лицензированный автотранспорт (автоцистерну). Данные изменения не коснулись перевозок железнодорожным транспортом. В связи с чем доставку до многих оборонных и промышленных предприятий спирта этилового технического с 2013г. ООО «Кировский биохимический завод» осуществляло с использованием железнодорожных контейнеров и крытых вагонов. Это позволило обеспечить нужды практически всех предприятий, расположенных на территории Российской Федерации, в том числе и не имеющих собственных железнодорожных путей.</w:t>
      </w:r>
    </w:p>
    <w:p>
      <w:pPr>
        <w:pStyle w:val="Normal"/>
        <w:spacing w:lineRule="auto" w:line="360"/>
        <w:ind w:firstLine="709"/>
        <w:jc w:val="both"/>
        <w:rPr>
          <w:sz w:val="26"/>
          <w:szCs w:val="26"/>
        </w:rPr>
      </w:pPr>
      <w:r>
        <w:rPr>
          <w:sz w:val="26"/>
          <w:szCs w:val="26"/>
        </w:rPr>
        <w:t>В то же время для некоторых покупателей доставка спирта этилового технического возможна только с использованием смешанной перевозки железнодорожного контейнера, т.е. с использованием различных транспортных средств, осуществляющих транспортировку (железнодорожного, автомобильного, морского, авиа). Так, например, доставка до ОАО ГМК «Норильский никель» возможна только железнодорожным контейнером с перегрузкой в морском порту на водный транспорт, а после автотранспортом до места назначения. Подобная ситуация складывается с предприятиями, расположенными на Сахалине и Камчатке. Реализовать на практике это достаточно проблемно, поскольку законодательно положения о смешанной перевозке не урегулированы.</w:t>
      </w:r>
    </w:p>
    <w:p>
      <w:pPr>
        <w:pStyle w:val="Normal"/>
        <w:spacing w:lineRule="auto" w:line="360"/>
        <w:ind w:firstLine="709"/>
        <w:jc w:val="both"/>
        <w:rPr>
          <w:sz w:val="26"/>
          <w:szCs w:val="26"/>
        </w:rPr>
      </w:pPr>
      <w:r>
        <w:rPr>
          <w:sz w:val="26"/>
          <w:szCs w:val="26"/>
        </w:rPr>
        <w:t>В настоящее время снова вводятся изменения в Федеральный закон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использования для перевозок этилового спирта железнодорожными подвижными составами только в цистернах и танк-контейнерах, оборудованных ЕГАИС. Использовать железнодорожные контейнеры и крытые вагоны с момента внесения этих изменений будет нельзя.</w:t>
      </w:r>
    </w:p>
    <w:p>
      <w:pPr>
        <w:pStyle w:val="Normal"/>
        <w:spacing w:lineRule="auto" w:line="360"/>
        <w:ind w:firstLine="709"/>
        <w:jc w:val="both"/>
        <w:rPr>
          <w:sz w:val="26"/>
          <w:szCs w:val="26"/>
        </w:rPr>
      </w:pPr>
      <w:r>
        <w:rPr>
          <w:sz w:val="26"/>
          <w:szCs w:val="26"/>
        </w:rPr>
        <w:t>В свою очередь это приведет к тому, что промышленные предприятия в некоторых регионах не смогут получить от ООО «КИБИХ» продукцию в установленные государственными контрактами сроки, а логистические затраты в разы будут превышать стоимость самой продукции».</w:t>
      </w:r>
    </w:p>
    <w:p>
      <w:pPr>
        <w:pStyle w:val="Normal"/>
        <w:spacing w:lineRule="auto" w:line="360"/>
        <w:ind w:firstLine="709"/>
        <w:jc w:val="both"/>
        <w:rPr>
          <w:sz w:val="26"/>
          <w:szCs w:val="26"/>
        </w:rPr>
      </w:pPr>
      <w:r>
        <w:rPr>
          <w:sz w:val="26"/>
          <w:szCs w:val="26"/>
        </w:rPr>
        <w:t>СРО Союз операторов железнодорожного транспорта: «При принятии предлагаемых разработчиком изменений возможен риск введения избыточного административного регулирования и негативное последствия в виде физической невозможности перевозки железнодорожным транспортом для большинства производителей». «Изменения допускают перевозку этилового спирта (в том числе денатурата) (далее – спирт) железнодорожным транспортом исключительно в вагонах-цистернах или с использованием танк-контейнеров. Таким образом, исключается возможность перевозки спирта в бочках, бидонах, бутылях. Между тем такие перевозки в настоящее время чрезвычайно распространены. Более того, существует не так много предприятий – производителей спирта, имеющих площадки для погрузки/разгрузки вагонов-цистерн и танк-контейнеров.</w:t>
      </w:r>
    </w:p>
    <w:p>
      <w:pPr>
        <w:pStyle w:val="Normal"/>
        <w:spacing w:lineRule="auto" w:line="360"/>
        <w:ind w:firstLine="709"/>
        <w:jc w:val="both"/>
        <w:rPr/>
      </w:pPr>
      <w:r>
        <w:rPr>
          <w:sz w:val="26"/>
          <w:szCs w:val="26"/>
        </w:rPr>
        <w:t>Считаем, что новое преимущество, указанное разработчиком в пункте 10.2 сводного отчета – «Перенос сроков вступления в силу положений в части оснащения специальными техническими средствами регистрации в автоматическом режиме движения железнодорожного подвижного состава», не покрывает вышеописанных негативных последствий».</w:t>
      </w:r>
    </w:p>
    <w:sectPr>
      <w:headerReference w:type="default" r:id="rId6"/>
      <w:footnotePr>
        <w:numFmt w:val="decimal"/>
      </w:footnotePr>
      <w:type w:val="nextPage"/>
      <w:pgSz w:w="11906" w:h="16838"/>
      <w:pgMar w:left="1134" w:right="567"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jc w:val="both"/>
        <w:rPr/>
      </w:pPr>
      <w:r>
        <w:rPr>
          <w:rStyle w:val="Style18"/>
        </w:rPr>
        <w:footnoteRef/>
      </w:r>
      <w:r>
        <w:rPr>
          <w:rStyle w:val="FootnoteCharacters"/>
        </w:rPr>
        <w:tab/>
      </w:r>
      <w:r>
        <w:rPr/>
        <w:t xml:space="preserve"> </w:t>
      </w:r>
      <w:r>
        <w:rPr/>
        <w:t>При расчете аналогичного оборудования, используемого при перевозках спиртосодержащей продукции автомобильным транспортом.</w:t>
      </w:r>
    </w:p>
  </w:footnote>
  <w:footnote w:id="3">
    <w:p>
      <w:pPr>
        <w:pStyle w:val="Style29"/>
        <w:jc w:val="both"/>
        <w:rPr/>
      </w:pPr>
      <w:r>
        <w:rPr>
          <w:rStyle w:val="Style18"/>
        </w:rPr>
        <w:footnoteRef/>
      </w:r>
      <w:r>
        <w:rPr>
          <w:rStyle w:val="FootnoteCharacters"/>
        </w:rPr>
        <w:tab/>
      </w:r>
      <w:r>
        <w:rPr/>
        <w:t xml:space="preserve"> </w:t>
      </w:r>
      <w:r>
        <w:rPr/>
        <w:t>При расчете необходимости оснащения 12,5 тысяч транспортных единиц и затратах на оборудование GPS-Глонасс-трекером и оборудованием учета объема продукции на единицу транспортного средства в размере 2,5 млн. рублей.</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6"/>
                            <w:pBd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52.1pt;mso-position-horizontal:center;mso-position-horizontal-relative:margin">
              <v:fill opacity="0f"/>
              <v:textbox inset="0in,0in,0in,0in">
                <w:txbxContent>
                  <w:p>
                    <w:pPr>
                      <w:pStyle w:val="Style26"/>
                      <w:pBd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1"/>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29a7"/>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529a7"/>
    <w:rPr/>
  </w:style>
  <w:style w:type="character" w:styleId="Style14">
    <w:name w:val="Интернет-ссылка"/>
    <w:rsid w:val="0090466c"/>
    <w:rPr>
      <w:color w:val="0000FF"/>
      <w:u w:val="single"/>
    </w:rPr>
  </w:style>
  <w:style w:type="character" w:styleId="Style15" w:customStyle="1">
    <w:name w:val="Текст выноски Знак"/>
    <w:link w:val="aa"/>
    <w:qFormat/>
    <w:rsid w:val="004825c6"/>
    <w:rPr>
      <w:rFonts w:ascii="Tahoma" w:hAnsi="Tahoma" w:cs="Tahoma"/>
      <w:sz w:val="16"/>
      <w:szCs w:val="16"/>
    </w:rPr>
  </w:style>
  <w:style w:type="character" w:styleId="Style16" w:customStyle="1">
    <w:name w:val="Текст сноски Знак"/>
    <w:basedOn w:val="DefaultParagraphFont"/>
    <w:link w:val="ac"/>
    <w:qFormat/>
    <w:rsid w:val="005b01d6"/>
    <w:rPr/>
  </w:style>
  <w:style w:type="character" w:styleId="Style17">
    <w:name w:val="Привязка сноски"/>
    <w:rPr>
      <w:vertAlign w:val="superscript"/>
    </w:rPr>
  </w:style>
  <w:style w:type="character" w:styleId="FootnoteCharacters">
    <w:name w:val="Footnote Characters"/>
    <w:qFormat/>
    <w:rsid w:val="005b01d6"/>
    <w:rPr>
      <w:vertAlign w:val="superscrip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rPr>
  </w:style>
  <w:style w:type="character" w:styleId="ListLabel6">
    <w:name w:val="ListLabel 6"/>
    <w:qFormat/>
    <w:rPr>
      <w:b/>
    </w:rPr>
  </w:style>
  <w:style w:type="character" w:styleId="ListLabel7">
    <w:name w:val="ListLabel 7"/>
    <w:qFormat/>
    <w:rPr>
      <w:sz w:val="26"/>
      <w:szCs w:val="26"/>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Droid Sans Fallback"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NormalWeb">
    <w:name w:val="Normal (Web)"/>
    <w:basedOn w:val="Normal"/>
    <w:qFormat/>
    <w:rsid w:val="00a529a7"/>
    <w:pPr>
      <w:spacing w:beforeAutospacing="1" w:afterAutospacing="1"/>
    </w:pPr>
    <w:rPr/>
  </w:style>
  <w:style w:type="paragraph" w:styleId="Style26">
    <w:name w:val="Header"/>
    <w:basedOn w:val="Normal"/>
    <w:rsid w:val="00a529a7"/>
    <w:pPr>
      <w:tabs>
        <w:tab w:val="center" w:pos="4677" w:leader="none"/>
        <w:tab w:val="right" w:pos="9355" w:leader="none"/>
      </w:tabs>
    </w:pPr>
    <w:rPr/>
  </w:style>
  <w:style w:type="paragraph" w:styleId="Style27">
    <w:name w:val="Footer"/>
    <w:basedOn w:val="Normal"/>
    <w:rsid w:val="00a529a7"/>
    <w:pPr>
      <w:tabs>
        <w:tab w:val="center" w:pos="4677" w:leader="none"/>
        <w:tab w:val="right" w:pos="9355" w:leader="none"/>
      </w:tabs>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a529a7"/>
    <w:pPr>
      <w:spacing w:beforeAutospacing="1" w:afterAutospacing="1"/>
    </w:pPr>
    <w:rPr>
      <w:rFonts w:ascii="Tahoma" w:hAnsi="Tahoma"/>
      <w:sz w:val="20"/>
      <w:szCs w:val="20"/>
      <w:lang w:val="en-US" w:eastAsia="en-US"/>
    </w:rPr>
  </w:style>
  <w:style w:type="paragraph" w:styleId="ConsPlusNormal" w:customStyle="1">
    <w:name w:val="ConsPlusNormal"/>
    <w:qFormat/>
    <w:rsid w:val="00787896"/>
    <w:pPr>
      <w:widowControl w:val="false"/>
      <w:suppressAutoHyphens w:val="true"/>
      <w:bidi w:val="0"/>
      <w:ind w:firstLine="720"/>
      <w:jc w:val="left"/>
    </w:pPr>
    <w:rPr>
      <w:rFonts w:ascii="Arial" w:hAnsi="Arial" w:eastAsia="Arial" w:cs="Arial"/>
      <w:color w:val="auto"/>
      <w:kern w:val="0"/>
      <w:sz w:val="24"/>
      <w:szCs w:val="20"/>
      <w:lang w:eastAsia="ar-SA" w:val="ru-RU" w:bidi="ar-SA"/>
    </w:rPr>
  </w:style>
  <w:style w:type="paragraph" w:styleId="ConsPlusNonformat" w:customStyle="1">
    <w:name w:val="ConsPlusNonformat"/>
    <w:uiPriority w:val="99"/>
    <w:qFormat/>
    <w:rsid w:val="00c63c9c"/>
    <w:pPr>
      <w:widowControl w:val="false"/>
      <w:bidi w:val="0"/>
      <w:jc w:val="left"/>
    </w:pPr>
    <w:rPr>
      <w:rFonts w:ascii="Courier New" w:hAnsi="Courier New" w:cs="Courier New" w:eastAsia="Times New Roman"/>
      <w:color w:val="auto"/>
      <w:kern w:val="0"/>
      <w:sz w:val="24"/>
      <w:szCs w:val="20"/>
      <w:lang w:val="ru-RU" w:eastAsia="ru-RU" w:bidi="ar-SA"/>
    </w:rPr>
  </w:style>
  <w:style w:type="paragraph" w:styleId="ConsPlusTitle" w:customStyle="1">
    <w:name w:val="ConsPlusTitle"/>
    <w:uiPriority w:val="99"/>
    <w:qFormat/>
    <w:rsid w:val="00c63c9c"/>
    <w:pPr>
      <w:widowControl w:val="false"/>
      <w:bidi w:val="0"/>
      <w:jc w:val="left"/>
    </w:pPr>
    <w:rPr>
      <w:rFonts w:ascii="Times New Roman" w:hAnsi="Times New Roman" w:eastAsia="Times New Roman" w:cs="Times New Roman"/>
      <w:b/>
      <w:bCs/>
      <w:color w:val="auto"/>
      <w:kern w:val="0"/>
      <w:sz w:val="28"/>
      <w:szCs w:val="28"/>
      <w:lang w:val="ru-RU" w:eastAsia="ru-RU" w:bidi="ar-SA"/>
    </w:rPr>
  </w:style>
  <w:style w:type="paragraph" w:styleId="Style28" w:customStyle="1">
    <w:name w:val="Стиль"/>
    <w:qFormat/>
    <w:rsid w:val="005a0cd8"/>
    <w:pPr>
      <w:widowControl w:val="false"/>
      <w:bidi w:val="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b"/>
    <w:qFormat/>
    <w:rsid w:val="004825c6"/>
    <w:pPr/>
    <w:rPr>
      <w:rFonts w:ascii="Tahoma" w:hAnsi="Tahoma" w:cs="Tahoma"/>
      <w:sz w:val="16"/>
      <w:szCs w:val="16"/>
    </w:rPr>
  </w:style>
  <w:style w:type="paragraph" w:styleId="Style29">
    <w:name w:val="Footnote Text"/>
    <w:basedOn w:val="Normal"/>
    <w:link w:val="ad"/>
    <w:rsid w:val="005b01d6"/>
    <w:pPr/>
    <w:rPr>
      <w:sz w:val="20"/>
      <w:szCs w:val="20"/>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rsid w:val="00a529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BA08EE99C2022DE71ADFECAE9577BE72075799551A3462E21629B24CE791004B53157828517DCAFT4f9P" TargetMode="External"/><Relationship Id="rId3" Type="http://schemas.openxmlformats.org/officeDocument/2006/relationships/hyperlink" Target="consultantplus://offline/ref=CBA08EE99C2022DE71ADFECAE9577BE72075799551A3462E21629B24CE791004B53157828517DCA9T4fAP" TargetMode="External"/><Relationship Id="rId4" Type="http://schemas.openxmlformats.org/officeDocument/2006/relationships/hyperlink" Target="consultantplus://offline/ref=CBA08EE99C2022DE71ADFECAE9577BE72075799551A3462E21629B24CE791004B53157828517DDADT4fFP" TargetMode="External"/><Relationship Id="rId5" Type="http://schemas.openxmlformats.org/officeDocument/2006/relationships/hyperlink" Target="consultantplus://offline/ref=B517DE4CEC2667FF5CD4D4FACFC7BDBC1E537621F54F907F723F2EE0B4A923CEC3DF271ABFB7943293D1296FF8DD380CB596D43B0199EEE8g2hAO" TargetMode="External"/><Relationship Id="rId6" Type="http://schemas.openxmlformats.org/officeDocument/2006/relationships/header" Target="head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8818-14BD-440E-BB52-B96FF933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LibreOffice/6.0.7.3.0$Linux_X86_64 LibreOffice_project/00m0$Build-3</Application>
  <Pages>9</Pages>
  <Words>2007</Words>
  <Characters>15212</Characters>
  <CharactersWithSpaces>17222</CharactersWithSpaces>
  <Paragraphs>49</Paragraphs>
  <Company>МЭР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2019-08-02T07:51:00Z</dcterms:created>
  <dc:creator>SubbotinaMM</dc:creator>
  <dc:description/>
  <dc:language>ru-RU</dc:language>
  <cp:lastModifiedBy/>
  <cp:lastPrinted>2017-10-02T10:17:00Z</cp:lastPrinted>
  <dcterms:modified xsi:type="dcterms:W3CDTF">2019-08-16T11:55:52Z</dcterms:modified>
  <cp:revision>4</cp:revision>
  <dc:subject/>
  <dc:title>Росалкогольрегулирования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МЭР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