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451581B3" w:rsidR="008E3AB8" w:rsidRPr="00E92985" w:rsidRDefault="00E15157" w:rsidP="00E92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772F0B">
              <w:rPr>
                <w:rFonts w:ascii="Times New Roman" w:hAnsi="Times New Roman" w:cs="Times New Roman"/>
                <w:b/>
              </w:rPr>
              <w:t>.04</w:t>
            </w:r>
            <w:r w:rsidR="005025ED">
              <w:rPr>
                <w:rFonts w:ascii="Times New Roman" w:hAnsi="Times New Roman" w:cs="Times New Roman"/>
                <w:b/>
              </w:rPr>
              <w:t>.2024</w:t>
            </w:r>
          </w:p>
        </w:tc>
      </w:tr>
      <w:tr w:rsidR="008E3AB8" w:rsidRPr="002F6465" w14:paraId="07CE79DF" w14:textId="77777777" w:rsidTr="00B6306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6EC7F54E" w14:textId="5D50752A" w:rsidR="00E92985" w:rsidRDefault="00324E62" w:rsidP="00E9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 Артем Вадимович</w:t>
            </w:r>
            <w:r w:rsidR="00E92985" w:rsidRPr="00E92985">
              <w:rPr>
                <w:rFonts w:ascii="Times New Roman" w:hAnsi="Times New Roman" w:cs="Times New Roman"/>
              </w:rPr>
              <w:t>,</w:t>
            </w:r>
          </w:p>
          <w:p w14:paraId="3B675FAE" w14:textId="3A731ED7" w:rsidR="008E3AB8" w:rsidRPr="00E92985" w:rsidRDefault="00E92985" w:rsidP="007D7D9C">
            <w:pPr>
              <w:jc w:val="center"/>
              <w:rPr>
                <w:rFonts w:ascii="Times New Roman" w:hAnsi="Times New Roman" w:cs="Times New Roman"/>
              </w:rPr>
            </w:pPr>
            <w:r w:rsidRPr="00E92985">
              <w:rPr>
                <w:rFonts w:ascii="Times New Roman" w:hAnsi="Times New Roman" w:cs="Times New Roman"/>
              </w:rPr>
              <w:t xml:space="preserve">(495) 870-29-21 доб. </w:t>
            </w:r>
            <w:r w:rsidR="00293B49">
              <w:rPr>
                <w:rFonts w:ascii="Times New Roman" w:hAnsi="Times New Roman" w:cs="Times New Roman"/>
              </w:rPr>
              <w:t>11290</w:t>
            </w:r>
          </w:p>
        </w:tc>
      </w:tr>
      <w:tr w:rsidR="008E3AB8" w:rsidRPr="002F6465" w14:paraId="6B839E6A" w14:textId="77777777" w:rsidTr="00B6306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8E3AB8" w:rsidRP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</w:tcPr>
          <w:p w14:paraId="285F4FC2" w14:textId="4402D034" w:rsidR="008E3AB8" w:rsidRPr="00E92985" w:rsidRDefault="00293B49" w:rsidP="00E9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RyabininAV@economy.gov.ru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55A90AD8" w:rsidR="00366B6C" w:rsidRPr="002F6465" w:rsidRDefault="006E533A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</w:t>
            </w:r>
            <w:r w:rsidR="00366B6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6A25F7E2" w14:textId="2FCF257F" w:rsidR="00366B6C" w:rsidRPr="00E92985" w:rsidRDefault="007450E7" w:rsidP="00A44FD5">
            <w:pPr>
              <w:jc w:val="center"/>
              <w:rPr>
                <w:rFonts w:ascii="Times New Roman" w:hAnsi="Times New Roman" w:cs="Times New Roman"/>
              </w:rPr>
            </w:pPr>
            <w:r w:rsidRPr="007450E7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FD5">
              <w:rPr>
                <w:rFonts w:ascii="Times New Roman" w:hAnsi="Times New Roman" w:cs="Times New Roman"/>
              </w:rPr>
              <w:t>приказа Минприроды России</w:t>
            </w:r>
            <w:r w:rsidR="005025ED">
              <w:rPr>
                <w:rFonts w:ascii="Times New Roman" w:hAnsi="Times New Roman" w:cs="Times New Roman"/>
              </w:rPr>
              <w:br/>
            </w:r>
            <w:r w:rsidR="006E533A" w:rsidRPr="006E533A">
              <w:rPr>
                <w:rFonts w:ascii="Times New Roman" w:hAnsi="Times New Roman" w:cs="Times New Roman"/>
              </w:rPr>
              <w:t>«</w:t>
            </w:r>
            <w:r w:rsidR="00A44FD5" w:rsidRPr="00A44FD5">
              <w:rPr>
                <w:rFonts w:ascii="Times New Roman" w:hAnsi="Times New Roman" w:cs="Times New Roman"/>
              </w:rPr>
              <w:t>Об утв</w:t>
            </w:r>
            <w:r w:rsidR="00A44FD5">
              <w:rPr>
                <w:rFonts w:ascii="Times New Roman" w:hAnsi="Times New Roman" w:cs="Times New Roman"/>
              </w:rPr>
              <w:t>ерждении Порядка предоставления</w:t>
            </w:r>
            <w:r w:rsidR="00A44FD5">
              <w:rPr>
                <w:rFonts w:ascii="Times New Roman" w:hAnsi="Times New Roman" w:cs="Times New Roman"/>
              </w:rPr>
              <w:br/>
            </w:r>
            <w:r w:rsidR="00A44FD5" w:rsidRPr="00A44FD5">
              <w:rPr>
                <w:rFonts w:ascii="Times New Roman" w:hAnsi="Times New Roman" w:cs="Times New Roman"/>
              </w:rPr>
              <w:t>и с</w:t>
            </w:r>
            <w:r w:rsidR="00A44FD5">
              <w:rPr>
                <w:rFonts w:ascii="Times New Roman" w:hAnsi="Times New Roman" w:cs="Times New Roman"/>
              </w:rPr>
              <w:t>остава информации, содержащейся</w:t>
            </w:r>
            <w:r w:rsidR="00A44FD5">
              <w:rPr>
                <w:rFonts w:ascii="Times New Roman" w:hAnsi="Times New Roman" w:cs="Times New Roman"/>
              </w:rPr>
              <w:br/>
            </w:r>
            <w:r w:rsidR="00A44FD5" w:rsidRPr="00A44FD5">
              <w:rPr>
                <w:rFonts w:ascii="Times New Roman" w:hAnsi="Times New Roman" w:cs="Times New Roman"/>
              </w:rPr>
              <w:t>в специальных картах (схемах)</w:t>
            </w:r>
            <w:r w:rsidR="005025ED" w:rsidRPr="005025ED">
              <w:rPr>
                <w:rFonts w:ascii="Times New Roman" w:hAnsi="Times New Roman" w:cs="Times New Roman"/>
              </w:rPr>
              <w:t>»</w:t>
            </w:r>
          </w:p>
        </w:tc>
      </w:tr>
      <w:tr w:rsidR="00366B6C" w:rsidRPr="002F6465" w14:paraId="62FE9DF0" w14:textId="77777777" w:rsidTr="00C646F9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</w:tcPr>
          <w:p w14:paraId="1A6D0251" w14:textId="2851F725" w:rsidR="00366B6C" w:rsidRPr="00E92985" w:rsidRDefault="00E15157" w:rsidP="006E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 России</w:t>
            </w:r>
          </w:p>
        </w:tc>
      </w:tr>
      <w:tr w:rsidR="00366B6C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52940AAD" w:rsidR="00366B6C" w:rsidRPr="00E92985" w:rsidRDefault="00293B49" w:rsidP="00A44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44FD5" w:rsidRPr="00A44FD5">
              <w:rPr>
                <w:rFonts w:ascii="Times New Roman" w:hAnsi="Times New Roman" w:cs="Times New Roman"/>
              </w:rPr>
              <w:t>02/08/01-24/00145151</w:t>
            </w:r>
            <w:bookmarkStart w:id="0" w:name="_GoBack"/>
            <w:bookmarkEnd w:id="0"/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0A5CDC" w14:paraId="16702082" w14:textId="77777777" w:rsidTr="00C7300A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0A5CDC" w:rsidRPr="00C646F9" w:rsidRDefault="000A5CDC" w:rsidP="000A5CDC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  <w:vAlign w:val="center"/>
          </w:tcPr>
          <w:p w14:paraId="39D75F4F" w14:textId="5F5785DD" w:rsidR="000A5CDC" w:rsidRPr="000A5CDC" w:rsidRDefault="000A5CDC" w:rsidP="000A5C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A5CDC" w14:paraId="1BA879CC" w14:textId="77777777" w:rsidTr="00C7300A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0A5CDC" w:rsidRPr="00C646F9" w:rsidRDefault="000A5CDC" w:rsidP="000A5CDC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  <w:vAlign w:val="center"/>
          </w:tcPr>
          <w:p w14:paraId="0612D600" w14:textId="2ED292D3" w:rsidR="000A5CDC" w:rsidRPr="000A5CDC" w:rsidRDefault="000A5CDC" w:rsidP="000A5C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A5CDC" w14:paraId="26C3897E" w14:textId="77777777" w:rsidTr="00C7300A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0A5CDC" w:rsidRPr="00C646F9" w:rsidRDefault="000A5CDC" w:rsidP="000A5CDC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  <w:vAlign w:val="center"/>
          </w:tcPr>
          <w:p w14:paraId="456AA187" w14:textId="2E2DD1B3" w:rsidR="000A5CDC" w:rsidRPr="000A5CDC" w:rsidRDefault="000A5CDC" w:rsidP="000A5C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A5CDC" w14:paraId="45DA8E4E" w14:textId="77777777" w:rsidTr="00C7300A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0A5CDC" w:rsidRPr="00C646F9" w:rsidRDefault="000A5CDC" w:rsidP="000A5CDC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  <w:vAlign w:val="center"/>
          </w:tcPr>
          <w:p w14:paraId="2AE59D91" w14:textId="00573F8E" w:rsidR="000A5CDC" w:rsidRPr="000A5CDC" w:rsidRDefault="000A5CDC" w:rsidP="000A5C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A5CDC" w14:paraId="64C9D62A" w14:textId="77777777" w:rsidTr="00C7300A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0A5CDC" w:rsidRPr="00C646F9" w:rsidRDefault="000A5CDC" w:rsidP="000A5CDC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  <w:vAlign w:val="center"/>
          </w:tcPr>
          <w:p w14:paraId="3C6AB5B6" w14:textId="5FCAC0E7" w:rsidR="000A5CDC" w:rsidRPr="000A5CDC" w:rsidRDefault="000A5CDC" w:rsidP="000A5C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Pr="005A3AB1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Pr="005A3AB1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5A3AB1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5A3AB1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lastRenderedPageBreak/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5A3AB1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5A3AB1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Pr="005A3AB1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5A3AB1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найм</w:t>
            </w:r>
            <w:proofErr w:type="spellEnd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00FA7196" w:rsidR="008572FA" w:rsidRPr="00E864BE" w:rsidRDefault="00E864BE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864BE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П</w:t>
            </w:r>
            <w:r w:rsidRPr="00E864BE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ринятие акта не создает отрицательные последствия</w:t>
            </w:r>
          </w:p>
          <w:p w14:paraId="09B9A34F" w14:textId="77777777" w:rsidR="008572FA" w:rsidRPr="00E864BE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5A3AB1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5A3AB1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1732739B" w14:textId="7AD88748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674E" w14:textId="77777777" w:rsidR="002D3EF6" w:rsidRDefault="002D3EF6">
      <w:pPr>
        <w:spacing w:after="0" w:line="240" w:lineRule="auto"/>
      </w:pPr>
      <w:r>
        <w:separator/>
      </w:r>
    </w:p>
  </w:endnote>
  <w:endnote w:type="continuationSeparator" w:id="0">
    <w:p w14:paraId="6D8DA06C" w14:textId="77777777" w:rsidR="002D3EF6" w:rsidRDefault="002D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58B" w14:textId="561C8B40" w:rsidR="0097608D" w:rsidRDefault="0097608D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0621BEBA">
          <wp:extent cx="5940425" cy="244872"/>
          <wp:effectExtent l="0" t="0" r="0" b="3175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4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C6981" w14:textId="71D94A0B" w:rsidR="00F84E50" w:rsidRPr="00EB43FD" w:rsidRDefault="002D3EF6" w:rsidP="005A3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7924" w14:textId="77777777" w:rsidR="002D3EF6" w:rsidRDefault="002D3EF6">
      <w:pPr>
        <w:spacing w:after="0" w:line="240" w:lineRule="auto"/>
      </w:pPr>
      <w:r>
        <w:separator/>
      </w:r>
    </w:p>
  </w:footnote>
  <w:footnote w:type="continuationSeparator" w:id="0">
    <w:p w14:paraId="24D20300" w14:textId="77777777" w:rsidR="002D3EF6" w:rsidRDefault="002D3EF6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2D3E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A5CDC"/>
    <w:rsid w:val="000D7445"/>
    <w:rsid w:val="000E742E"/>
    <w:rsid w:val="000F6245"/>
    <w:rsid w:val="00111CC8"/>
    <w:rsid w:val="00117401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93B49"/>
    <w:rsid w:val="002B2DBB"/>
    <w:rsid w:val="002C4205"/>
    <w:rsid w:val="002D3EF6"/>
    <w:rsid w:val="002F6465"/>
    <w:rsid w:val="0030357E"/>
    <w:rsid w:val="00317E47"/>
    <w:rsid w:val="00324E62"/>
    <w:rsid w:val="003351AC"/>
    <w:rsid w:val="00342D2F"/>
    <w:rsid w:val="00351C0C"/>
    <w:rsid w:val="00366B6C"/>
    <w:rsid w:val="003709A8"/>
    <w:rsid w:val="003B27C4"/>
    <w:rsid w:val="003B55E3"/>
    <w:rsid w:val="003C2CBB"/>
    <w:rsid w:val="003D0E3E"/>
    <w:rsid w:val="003F71F2"/>
    <w:rsid w:val="00415408"/>
    <w:rsid w:val="00416DF5"/>
    <w:rsid w:val="004234C6"/>
    <w:rsid w:val="00423DE3"/>
    <w:rsid w:val="00453E9A"/>
    <w:rsid w:val="00457FF7"/>
    <w:rsid w:val="00461D76"/>
    <w:rsid w:val="0048309D"/>
    <w:rsid w:val="00496C9E"/>
    <w:rsid w:val="004A3988"/>
    <w:rsid w:val="004C11A7"/>
    <w:rsid w:val="004C619C"/>
    <w:rsid w:val="004F07D3"/>
    <w:rsid w:val="004F4947"/>
    <w:rsid w:val="005025ED"/>
    <w:rsid w:val="00520DE9"/>
    <w:rsid w:val="00522D62"/>
    <w:rsid w:val="005368E4"/>
    <w:rsid w:val="005422E1"/>
    <w:rsid w:val="00545C06"/>
    <w:rsid w:val="00555BD3"/>
    <w:rsid w:val="00557782"/>
    <w:rsid w:val="00571016"/>
    <w:rsid w:val="005857D4"/>
    <w:rsid w:val="00587A1A"/>
    <w:rsid w:val="00593E02"/>
    <w:rsid w:val="005A0364"/>
    <w:rsid w:val="005A3AB1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4E41"/>
    <w:rsid w:val="00656457"/>
    <w:rsid w:val="006625D8"/>
    <w:rsid w:val="0067716F"/>
    <w:rsid w:val="00681948"/>
    <w:rsid w:val="00683874"/>
    <w:rsid w:val="00694DCF"/>
    <w:rsid w:val="006959AC"/>
    <w:rsid w:val="006A594B"/>
    <w:rsid w:val="006B77D7"/>
    <w:rsid w:val="006D4BE9"/>
    <w:rsid w:val="006E032E"/>
    <w:rsid w:val="006E0A62"/>
    <w:rsid w:val="006E4D40"/>
    <w:rsid w:val="006E533A"/>
    <w:rsid w:val="006F0CBC"/>
    <w:rsid w:val="006F3348"/>
    <w:rsid w:val="006F671C"/>
    <w:rsid w:val="00721CF3"/>
    <w:rsid w:val="00735E43"/>
    <w:rsid w:val="00736DA4"/>
    <w:rsid w:val="00737AD4"/>
    <w:rsid w:val="00741883"/>
    <w:rsid w:val="007450E7"/>
    <w:rsid w:val="00753890"/>
    <w:rsid w:val="00772F0B"/>
    <w:rsid w:val="00782667"/>
    <w:rsid w:val="00792D2D"/>
    <w:rsid w:val="007A1CD3"/>
    <w:rsid w:val="007B5FC5"/>
    <w:rsid w:val="007C2B73"/>
    <w:rsid w:val="007C7F02"/>
    <w:rsid w:val="007D7D9C"/>
    <w:rsid w:val="007E3099"/>
    <w:rsid w:val="007F6F7B"/>
    <w:rsid w:val="008026EC"/>
    <w:rsid w:val="00815A42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09CA"/>
    <w:rsid w:val="009225F0"/>
    <w:rsid w:val="00924C77"/>
    <w:rsid w:val="009719CF"/>
    <w:rsid w:val="0097608D"/>
    <w:rsid w:val="009910A1"/>
    <w:rsid w:val="00993535"/>
    <w:rsid w:val="00995792"/>
    <w:rsid w:val="009A1D06"/>
    <w:rsid w:val="009E04FC"/>
    <w:rsid w:val="009E6884"/>
    <w:rsid w:val="00A048C1"/>
    <w:rsid w:val="00A20C77"/>
    <w:rsid w:val="00A22BD7"/>
    <w:rsid w:val="00A26D32"/>
    <w:rsid w:val="00A33872"/>
    <w:rsid w:val="00A44FD5"/>
    <w:rsid w:val="00A47259"/>
    <w:rsid w:val="00A62B52"/>
    <w:rsid w:val="00A77416"/>
    <w:rsid w:val="00A83EA7"/>
    <w:rsid w:val="00A8691F"/>
    <w:rsid w:val="00AA2F54"/>
    <w:rsid w:val="00AA7216"/>
    <w:rsid w:val="00AB558F"/>
    <w:rsid w:val="00AC60BA"/>
    <w:rsid w:val="00AC6A43"/>
    <w:rsid w:val="00AD549A"/>
    <w:rsid w:val="00AE2CC6"/>
    <w:rsid w:val="00AF3B46"/>
    <w:rsid w:val="00B1041F"/>
    <w:rsid w:val="00B4785C"/>
    <w:rsid w:val="00B63069"/>
    <w:rsid w:val="00B63C7A"/>
    <w:rsid w:val="00B8553A"/>
    <w:rsid w:val="00BA70CE"/>
    <w:rsid w:val="00BB6091"/>
    <w:rsid w:val="00BD1AA2"/>
    <w:rsid w:val="00BD370B"/>
    <w:rsid w:val="00C15A42"/>
    <w:rsid w:val="00C23474"/>
    <w:rsid w:val="00C266BD"/>
    <w:rsid w:val="00C27CE2"/>
    <w:rsid w:val="00C64846"/>
    <w:rsid w:val="00C73458"/>
    <w:rsid w:val="00C917C0"/>
    <w:rsid w:val="00C919EF"/>
    <w:rsid w:val="00CA2E2D"/>
    <w:rsid w:val="00CC4F0D"/>
    <w:rsid w:val="00CD6098"/>
    <w:rsid w:val="00CE1959"/>
    <w:rsid w:val="00CF585C"/>
    <w:rsid w:val="00D04CB0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A0E69"/>
    <w:rsid w:val="00DB0265"/>
    <w:rsid w:val="00DE4BDF"/>
    <w:rsid w:val="00E005F5"/>
    <w:rsid w:val="00E15157"/>
    <w:rsid w:val="00E20E1A"/>
    <w:rsid w:val="00E242B3"/>
    <w:rsid w:val="00E4736E"/>
    <w:rsid w:val="00E864BE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5C33"/>
    <w:rsid w:val="00F90D13"/>
    <w:rsid w:val="00F92667"/>
    <w:rsid w:val="00F931CE"/>
    <w:rsid w:val="00F95A60"/>
    <w:rsid w:val="00FA56C6"/>
    <w:rsid w:val="00FD3EF6"/>
    <w:rsid w:val="00FE3D08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CDBE-0F72-45C9-88FC-76C747B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Рябинин Артем Вадимович</cp:lastModifiedBy>
  <cp:revision>2</cp:revision>
  <dcterms:created xsi:type="dcterms:W3CDTF">2024-03-27T11:00:00Z</dcterms:created>
  <dcterms:modified xsi:type="dcterms:W3CDTF">2024-03-27T11:00:00Z</dcterms:modified>
</cp:coreProperties>
</file>