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86" w:rsidRDefault="003F5D48" w:rsidP="003F5D48">
      <w:pPr>
        <w:ind w:left="9923"/>
        <w:jc w:val="both"/>
        <w:rPr>
          <w:sz w:val="22"/>
          <w:szCs w:val="22"/>
        </w:rPr>
      </w:pPr>
      <w:bookmarkStart w:id="0" w:name="_GoBack"/>
      <w:bookmarkEnd w:id="0"/>
      <w:r w:rsidRPr="003D644D">
        <w:rPr>
          <w:sz w:val="22"/>
          <w:szCs w:val="22"/>
        </w:rPr>
        <w:t>Приложение к заключению об оценке регу</w:t>
      </w:r>
      <w:r w:rsidR="00E57C2B">
        <w:rPr>
          <w:sz w:val="22"/>
          <w:szCs w:val="22"/>
        </w:rPr>
        <w:t>лирующего воздействия на проект</w:t>
      </w:r>
      <w:r w:rsidR="005021AD">
        <w:rPr>
          <w:sz w:val="22"/>
          <w:szCs w:val="22"/>
        </w:rPr>
        <w:t xml:space="preserve"> </w:t>
      </w:r>
      <w:r w:rsidR="00C422D1">
        <w:rPr>
          <w:sz w:val="22"/>
          <w:szCs w:val="22"/>
        </w:rPr>
        <w:t xml:space="preserve">федерального закона «О внесении изменений </w:t>
      </w:r>
      <w:r w:rsidR="00C422D1">
        <w:rPr>
          <w:sz w:val="22"/>
          <w:szCs w:val="22"/>
        </w:rPr>
        <w:br/>
        <w:t xml:space="preserve">в часть первую Налогового кодекса Российской Федерации (в связи с реализацией международного автоматического обмена информацией </w:t>
      </w:r>
      <w:r w:rsidR="00C422D1">
        <w:rPr>
          <w:sz w:val="22"/>
          <w:szCs w:val="22"/>
        </w:rPr>
        <w:br/>
        <w:t xml:space="preserve">о финансовых счетах и документацией </w:t>
      </w:r>
      <w:r w:rsidR="00C422D1">
        <w:rPr>
          <w:sz w:val="22"/>
          <w:szCs w:val="22"/>
        </w:rPr>
        <w:br/>
        <w:t xml:space="preserve">по международным группам компаний)»  </w:t>
      </w:r>
    </w:p>
    <w:p w:rsidR="00B92960" w:rsidRDefault="00B92960" w:rsidP="00FE14C9">
      <w:pPr>
        <w:spacing w:line="360" w:lineRule="auto"/>
        <w:jc w:val="center"/>
        <w:rPr>
          <w:b/>
          <w:sz w:val="26"/>
          <w:szCs w:val="26"/>
        </w:rPr>
      </w:pPr>
    </w:p>
    <w:p w:rsidR="00FE14C9" w:rsidRPr="0059303C" w:rsidRDefault="00FE14C9" w:rsidP="00FE14C9">
      <w:pPr>
        <w:spacing w:line="360" w:lineRule="auto"/>
        <w:jc w:val="center"/>
        <w:rPr>
          <w:b/>
          <w:sz w:val="26"/>
          <w:szCs w:val="26"/>
        </w:rPr>
      </w:pPr>
      <w:r w:rsidRPr="0059303C">
        <w:rPr>
          <w:b/>
          <w:sz w:val="26"/>
          <w:szCs w:val="26"/>
        </w:rPr>
        <w:t xml:space="preserve">Сводная таблица </w:t>
      </w:r>
      <w:r w:rsidR="00E54CB6">
        <w:rPr>
          <w:b/>
          <w:sz w:val="26"/>
          <w:szCs w:val="26"/>
        </w:rPr>
        <w:t xml:space="preserve">замечаний экспертов, не учтенных в заключении об оценке регулирующего воздействия проекта </w:t>
      </w:r>
      <w:r w:rsidR="00C422D1">
        <w:rPr>
          <w:b/>
          <w:sz w:val="26"/>
          <w:szCs w:val="26"/>
        </w:rPr>
        <w:t>федерального закона</w:t>
      </w:r>
    </w:p>
    <w:tbl>
      <w:tblPr>
        <w:tblW w:w="14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52"/>
        <w:gridCol w:w="11547"/>
      </w:tblGrid>
      <w:tr w:rsidR="00451F48" w:rsidRPr="0059303C" w:rsidTr="00451F48">
        <w:trPr>
          <w:tblHeader/>
          <w:jc w:val="center"/>
        </w:trPr>
        <w:tc>
          <w:tcPr>
            <w:tcW w:w="708" w:type="dxa"/>
          </w:tcPr>
          <w:p w:rsidR="00451F48" w:rsidRPr="00E05285" w:rsidRDefault="00451F48" w:rsidP="00577F55">
            <w:pPr>
              <w:jc w:val="center"/>
              <w:rPr>
                <w:b/>
                <w:sz w:val="21"/>
                <w:szCs w:val="21"/>
              </w:rPr>
            </w:pPr>
            <w:r>
              <w:rPr>
                <w:b/>
                <w:sz w:val="21"/>
                <w:szCs w:val="21"/>
              </w:rPr>
              <w:t>№ п/п</w:t>
            </w:r>
          </w:p>
        </w:tc>
        <w:tc>
          <w:tcPr>
            <w:tcW w:w="1852" w:type="dxa"/>
            <w:vAlign w:val="center"/>
          </w:tcPr>
          <w:p w:rsidR="00451F48" w:rsidRPr="00E05285" w:rsidRDefault="00451F48" w:rsidP="00577F55">
            <w:pPr>
              <w:jc w:val="center"/>
              <w:rPr>
                <w:b/>
                <w:sz w:val="21"/>
                <w:szCs w:val="21"/>
              </w:rPr>
            </w:pPr>
            <w:r w:rsidRPr="00E05285">
              <w:rPr>
                <w:b/>
                <w:sz w:val="21"/>
                <w:szCs w:val="21"/>
              </w:rPr>
              <w:t>№ пункта (подпункта) проекта акта</w:t>
            </w:r>
          </w:p>
        </w:tc>
        <w:tc>
          <w:tcPr>
            <w:tcW w:w="11547" w:type="dxa"/>
            <w:vAlign w:val="center"/>
          </w:tcPr>
          <w:p w:rsidR="00451F48" w:rsidRPr="00E05285" w:rsidRDefault="00451F48" w:rsidP="00577F55">
            <w:pPr>
              <w:jc w:val="center"/>
              <w:rPr>
                <w:b/>
                <w:sz w:val="21"/>
                <w:szCs w:val="21"/>
              </w:rPr>
            </w:pPr>
          </w:p>
          <w:p w:rsidR="00451F48" w:rsidRPr="00E05285" w:rsidRDefault="00451F48" w:rsidP="00577F55">
            <w:pPr>
              <w:jc w:val="center"/>
              <w:rPr>
                <w:sz w:val="21"/>
                <w:szCs w:val="21"/>
              </w:rPr>
            </w:pPr>
            <w:r w:rsidRPr="00E05285">
              <w:rPr>
                <w:b/>
                <w:sz w:val="21"/>
                <w:szCs w:val="21"/>
              </w:rPr>
              <w:t>Замечания и (или) предложения</w:t>
            </w:r>
          </w:p>
        </w:tc>
      </w:tr>
      <w:tr w:rsidR="00451F48" w:rsidRPr="0059303C" w:rsidTr="00451F48">
        <w:trPr>
          <w:trHeight w:val="532"/>
          <w:jc w:val="center"/>
        </w:trPr>
        <w:tc>
          <w:tcPr>
            <w:tcW w:w="708" w:type="dxa"/>
          </w:tcPr>
          <w:p w:rsidR="00451F48" w:rsidRPr="002A0039" w:rsidRDefault="00451F48" w:rsidP="005478D7">
            <w:pPr>
              <w:suppressAutoHyphens/>
              <w:jc w:val="center"/>
              <w:rPr>
                <w:b/>
              </w:rPr>
            </w:pPr>
            <w:r w:rsidRPr="002A0039">
              <w:rPr>
                <w:b/>
              </w:rPr>
              <w:t>1</w:t>
            </w:r>
          </w:p>
        </w:tc>
        <w:tc>
          <w:tcPr>
            <w:tcW w:w="1852" w:type="dxa"/>
            <w:vAlign w:val="center"/>
          </w:tcPr>
          <w:p w:rsidR="00451F48" w:rsidRDefault="00451F48" w:rsidP="00355630">
            <w:pPr>
              <w:suppressAutoHyphens/>
              <w:jc w:val="center"/>
            </w:pPr>
            <w:r>
              <w:t>Проект акта в целом</w:t>
            </w:r>
          </w:p>
        </w:tc>
        <w:tc>
          <w:tcPr>
            <w:tcW w:w="11547" w:type="dxa"/>
            <w:vAlign w:val="center"/>
          </w:tcPr>
          <w:p w:rsidR="00451F48" w:rsidRPr="00D122D5" w:rsidRDefault="00451F48" w:rsidP="00F151CB">
            <w:pPr>
              <w:jc w:val="both"/>
              <w:rPr>
                <w:sz w:val="26"/>
                <w:szCs w:val="26"/>
              </w:rPr>
            </w:pPr>
            <w:r w:rsidRPr="00BF2DCC">
              <w:rPr>
                <w:sz w:val="26"/>
                <w:szCs w:val="26"/>
              </w:rPr>
              <w:t xml:space="preserve">Принятие </w:t>
            </w:r>
            <w:r>
              <w:rPr>
                <w:sz w:val="26"/>
                <w:szCs w:val="26"/>
              </w:rPr>
              <w:t>проекта федерального закона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 (далее – проект акта)</w:t>
            </w:r>
            <w:r w:rsidRPr="00BF2DCC">
              <w:rPr>
                <w:sz w:val="26"/>
                <w:szCs w:val="26"/>
              </w:rPr>
              <w:t xml:space="preserve"> приведет к росту административной нагрузки на бизнес, заключающейся в необходимости изыскания дополнительных ресурсов для обеспечения исполнения требований нового законодательства в части составления глобальной и национальной документации, а также странового отчета.</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2</w:t>
            </w:r>
          </w:p>
        </w:tc>
        <w:tc>
          <w:tcPr>
            <w:tcW w:w="1852" w:type="dxa"/>
            <w:vAlign w:val="center"/>
          </w:tcPr>
          <w:p w:rsidR="00451F48" w:rsidRDefault="00451F48" w:rsidP="00C6286C">
            <w:pPr>
              <w:suppressAutoHyphens/>
              <w:jc w:val="center"/>
            </w:pPr>
            <w:r>
              <w:t>Проектируемая статья 105.16-1 НК РФ</w:t>
            </w:r>
          </w:p>
        </w:tc>
        <w:tc>
          <w:tcPr>
            <w:tcW w:w="11547" w:type="dxa"/>
            <w:vAlign w:val="center"/>
          </w:tcPr>
          <w:p w:rsidR="00451F48" w:rsidRPr="00EB2F7A" w:rsidRDefault="00451F48" w:rsidP="00EB2F7A">
            <w:pPr>
              <w:jc w:val="both"/>
              <w:rPr>
                <w:sz w:val="26"/>
                <w:szCs w:val="26"/>
              </w:rPr>
            </w:pPr>
            <w:r w:rsidRPr="00EB2F7A">
              <w:rPr>
                <w:sz w:val="26"/>
                <w:szCs w:val="26"/>
              </w:rPr>
              <w:t>Предлагаем уточнить редакцию пункта 2 проектируемой статьи 105.16-1 Налогового кодекса Российской Федерации (далее – НК РФ), регламентирующую состав участников международной группы, в связи со следующим.</w:t>
            </w:r>
          </w:p>
          <w:p w:rsidR="00451F48" w:rsidRPr="00EB2F7A" w:rsidRDefault="00451F48" w:rsidP="00EB2F7A">
            <w:pPr>
              <w:jc w:val="both"/>
              <w:rPr>
                <w:sz w:val="26"/>
                <w:szCs w:val="26"/>
              </w:rPr>
            </w:pPr>
            <w:r w:rsidRPr="00EB2F7A">
              <w:rPr>
                <w:sz w:val="26"/>
                <w:szCs w:val="26"/>
              </w:rPr>
              <w:t>Формулировка «Участником международной группы компаний в целях настоящего Кодекса признается лицо, входящее в состав международной группы компаний» не определяет состав участников международной группы, вносит неопределенность в нормы НК РФ, может привести к налоговым спорам.</w:t>
            </w:r>
          </w:p>
          <w:p w:rsidR="00451F48" w:rsidRPr="00EB2F7A" w:rsidRDefault="00451F48" w:rsidP="00EB2F7A">
            <w:pPr>
              <w:jc w:val="both"/>
              <w:rPr>
                <w:sz w:val="26"/>
                <w:szCs w:val="26"/>
              </w:rPr>
            </w:pPr>
            <w:r w:rsidRPr="00EB2F7A">
              <w:rPr>
                <w:sz w:val="26"/>
                <w:szCs w:val="26"/>
              </w:rPr>
              <w:t xml:space="preserve">Включение в состав международной группы лиц, финансовая отчетность по которым не учитывается при составлении консолидированной финансовой отчетности группы в силу размера или несущественности данных о таком лице, противоречит подпункту 1 пункта 6 проектируемой статьи 105.16-1 НК РФ. А также, по нашему мнению, данная норма вводит избыточные обязанности для предпринимателей и приведет к значительным дополнительным расходам на сбор и обработку </w:t>
            </w:r>
            <w:r w:rsidRPr="00EB2F7A">
              <w:rPr>
                <w:sz w:val="26"/>
                <w:szCs w:val="26"/>
              </w:rPr>
              <w:lastRenderedPageBreak/>
              <w:t>информации, формирование документации по несущественным операциям.</w:t>
            </w:r>
          </w:p>
          <w:p w:rsidR="00451F48" w:rsidRPr="00EB2F7A" w:rsidRDefault="00451F48" w:rsidP="00EB2F7A">
            <w:pPr>
              <w:jc w:val="both"/>
              <w:rPr>
                <w:sz w:val="26"/>
                <w:szCs w:val="26"/>
              </w:rPr>
            </w:pPr>
            <w:r w:rsidRPr="00EB2F7A">
              <w:rPr>
                <w:sz w:val="26"/>
                <w:szCs w:val="26"/>
              </w:rPr>
              <w:t>Указание о включении в состав международной группы обособленных подразделений участника международной группы компаний, деятельность которого приводит к образованию постоянного представительства, по нашему мнению, является излишним, так как такие обособленные подразделения включены в состав международной группы в соответствии с первым абзацем пункта.</w:t>
            </w:r>
          </w:p>
          <w:p w:rsidR="00451F48" w:rsidRPr="00EB2F7A" w:rsidRDefault="00451F48" w:rsidP="00EB2F7A">
            <w:pPr>
              <w:jc w:val="both"/>
              <w:rPr>
                <w:sz w:val="26"/>
                <w:szCs w:val="26"/>
              </w:rPr>
            </w:pPr>
            <w:r w:rsidRPr="00EB2F7A">
              <w:rPr>
                <w:sz w:val="26"/>
                <w:szCs w:val="26"/>
              </w:rPr>
              <w:t>Предлагаем изложить пункт 2 проектируемой статьи 105.16-1 НК РФ в следующей редакции:</w:t>
            </w:r>
          </w:p>
          <w:p w:rsidR="00451F48" w:rsidRPr="00EB2F7A" w:rsidRDefault="00451F48" w:rsidP="00EB2F7A">
            <w:pPr>
              <w:jc w:val="both"/>
              <w:rPr>
                <w:sz w:val="26"/>
                <w:szCs w:val="26"/>
              </w:rPr>
            </w:pPr>
            <w:r w:rsidRPr="00EB2F7A">
              <w:rPr>
                <w:sz w:val="26"/>
                <w:szCs w:val="26"/>
              </w:rPr>
              <w:t>«Участником международной группы компаний в целях настоящего Кодекса признается лицо, финансовая отчетность которого учитывается при составлении консолидированной финансовой отчетности указанной группы».</w:t>
            </w:r>
            <w:r w:rsidRPr="00EB2F7A">
              <w:rPr>
                <w:sz w:val="26"/>
                <w:szCs w:val="26"/>
              </w:rPr>
              <w:br w:type="page"/>
            </w:r>
          </w:p>
        </w:tc>
      </w:tr>
      <w:tr w:rsidR="00451F48" w:rsidRPr="0059303C" w:rsidTr="00451F48">
        <w:trPr>
          <w:trHeight w:val="532"/>
          <w:jc w:val="center"/>
        </w:trPr>
        <w:tc>
          <w:tcPr>
            <w:tcW w:w="708" w:type="dxa"/>
          </w:tcPr>
          <w:p w:rsidR="00451F48" w:rsidRDefault="00451F48" w:rsidP="005478D7">
            <w:pPr>
              <w:suppressAutoHyphens/>
              <w:jc w:val="center"/>
              <w:rPr>
                <w:b/>
              </w:rPr>
            </w:pPr>
            <w:r>
              <w:rPr>
                <w:b/>
              </w:rPr>
              <w:lastRenderedPageBreak/>
              <w:t>3</w:t>
            </w:r>
          </w:p>
        </w:tc>
        <w:tc>
          <w:tcPr>
            <w:tcW w:w="1852" w:type="dxa"/>
            <w:vAlign w:val="center"/>
          </w:tcPr>
          <w:p w:rsidR="00451F48" w:rsidRDefault="00451F48" w:rsidP="000131B8">
            <w:pPr>
              <w:suppressAutoHyphens/>
              <w:jc w:val="center"/>
            </w:pPr>
            <w:r>
              <w:t>Проектируемая статья 105.16-1 НК РФ</w:t>
            </w:r>
          </w:p>
        </w:tc>
        <w:tc>
          <w:tcPr>
            <w:tcW w:w="11547" w:type="dxa"/>
            <w:vAlign w:val="center"/>
          </w:tcPr>
          <w:p w:rsidR="00451F48" w:rsidRPr="00F537F0" w:rsidRDefault="00451F48" w:rsidP="0069144D">
            <w:pPr>
              <w:jc w:val="both"/>
              <w:rPr>
                <w:sz w:val="26"/>
                <w:szCs w:val="26"/>
              </w:rPr>
            </w:pPr>
            <w:r w:rsidRPr="000C7DAA">
              <w:rPr>
                <w:sz w:val="26"/>
                <w:szCs w:val="26"/>
              </w:rPr>
              <w:t xml:space="preserve">В подпункте 1 пункта 5 </w:t>
            </w:r>
            <w:r>
              <w:rPr>
                <w:sz w:val="26"/>
                <w:szCs w:val="26"/>
              </w:rPr>
              <w:t xml:space="preserve">проектируемой </w:t>
            </w:r>
            <w:r w:rsidRPr="000C7DAA">
              <w:rPr>
                <w:sz w:val="26"/>
                <w:szCs w:val="26"/>
              </w:rPr>
              <w:t xml:space="preserve">статьи </w:t>
            </w:r>
            <w:r>
              <w:rPr>
                <w:sz w:val="26"/>
                <w:szCs w:val="26"/>
              </w:rPr>
              <w:t>105.16-2 НК РФ</w:t>
            </w:r>
            <w:r w:rsidRPr="000C7DAA">
              <w:rPr>
                <w:sz w:val="26"/>
                <w:szCs w:val="26"/>
              </w:rPr>
              <w:t>, уст</w:t>
            </w:r>
            <w:r>
              <w:rPr>
                <w:sz w:val="26"/>
                <w:szCs w:val="26"/>
              </w:rPr>
              <w:t>анавливающем состав сведений в у</w:t>
            </w:r>
            <w:r w:rsidRPr="000C7DAA">
              <w:rPr>
                <w:sz w:val="26"/>
                <w:szCs w:val="26"/>
              </w:rPr>
              <w:t>ведомлении об участии в международной группе компаний, считаем целесообразным исключить или указать в качестве необязательной информацию об основном государственном регистрационном номере, идентификационном номере каждого</w:t>
            </w:r>
            <w:r>
              <w:rPr>
                <w:sz w:val="26"/>
                <w:szCs w:val="26"/>
              </w:rPr>
              <w:t xml:space="preserve"> </w:t>
            </w:r>
            <w:r w:rsidRPr="000C7DAA">
              <w:rPr>
                <w:sz w:val="26"/>
                <w:szCs w:val="26"/>
              </w:rPr>
              <w:t>налогоплательщика, являющегося участником международной группы компании, кодах причины постановки на учет. Предоставление данной информации затруднительно из-за особенностей законодательства и регистрации налогоплательщиков в странах участников международной</w:t>
            </w:r>
            <w:r>
              <w:rPr>
                <w:sz w:val="26"/>
                <w:szCs w:val="26"/>
              </w:rPr>
              <w:t xml:space="preserve"> группы.</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4</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EE4B1A" w:rsidRDefault="00451F48" w:rsidP="006A22BD">
            <w:pPr>
              <w:jc w:val="both"/>
              <w:rPr>
                <w:sz w:val="26"/>
                <w:szCs w:val="26"/>
              </w:rPr>
            </w:pPr>
            <w:r w:rsidRPr="00EE4B1A">
              <w:rPr>
                <w:sz w:val="26"/>
                <w:szCs w:val="26"/>
              </w:rPr>
              <w:t>Проект акта содержит ряд неоднозначных требований и понятий, которые могут по-разному трактоваться налоговыми органами и налогоплательщиками, что может повлечь за собой применение мер ответственности для добросовестных налогоплательщиков, в частности:</w:t>
            </w:r>
          </w:p>
          <w:p w:rsidR="00451F48" w:rsidRPr="00EE4B1A" w:rsidRDefault="00451F48" w:rsidP="006A22BD">
            <w:pPr>
              <w:jc w:val="both"/>
              <w:rPr>
                <w:sz w:val="26"/>
                <w:szCs w:val="26"/>
              </w:rPr>
            </w:pPr>
            <w:r w:rsidRPr="00EE4B1A">
              <w:rPr>
                <w:sz w:val="26"/>
                <w:szCs w:val="26"/>
              </w:rPr>
              <w:t>1) положения проекта акта не исключают возможность требования налоговыми органами как страновых отчетов по международной группе компаний верхнего уровня, так и страновых отчетов по «субхолдингам»;</w:t>
            </w:r>
          </w:p>
          <w:p w:rsidR="00451F48" w:rsidRPr="00005F0C" w:rsidRDefault="00451F48" w:rsidP="00121D34">
            <w:pPr>
              <w:jc w:val="both"/>
              <w:rPr>
                <w:sz w:val="26"/>
                <w:szCs w:val="26"/>
              </w:rPr>
            </w:pPr>
            <w:r>
              <w:rPr>
                <w:sz w:val="26"/>
                <w:szCs w:val="26"/>
              </w:rPr>
              <w:t>2</w:t>
            </w:r>
            <w:r w:rsidRPr="00EE4B1A">
              <w:rPr>
                <w:sz w:val="26"/>
                <w:szCs w:val="26"/>
              </w:rPr>
              <w:t>) показатели, которые необходимо отражать в страновом отчете, такие как «выручка», «уплаченный налог на прибыль», «исчисленный налог на прибыль», «численность работников» и ряд други</w:t>
            </w:r>
            <w:r>
              <w:rPr>
                <w:sz w:val="26"/>
                <w:szCs w:val="26"/>
              </w:rPr>
              <w:t>х, в проекте акта не определены.</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5</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8B497A" w:rsidRDefault="00451F48" w:rsidP="002152ED">
            <w:pPr>
              <w:jc w:val="both"/>
              <w:rPr>
                <w:sz w:val="26"/>
                <w:szCs w:val="26"/>
              </w:rPr>
            </w:pPr>
            <w:r>
              <w:rPr>
                <w:sz w:val="26"/>
                <w:szCs w:val="26"/>
              </w:rPr>
              <w:t>П</w:t>
            </w:r>
            <w:r w:rsidRPr="008B497A">
              <w:rPr>
                <w:sz w:val="26"/>
                <w:szCs w:val="26"/>
              </w:rPr>
              <w:t>редлагаем следующие уточнения к проекту акта:</w:t>
            </w:r>
          </w:p>
          <w:p w:rsidR="00451F48" w:rsidRPr="008B497A" w:rsidRDefault="00451F48" w:rsidP="002152ED">
            <w:pPr>
              <w:jc w:val="both"/>
              <w:rPr>
                <w:sz w:val="26"/>
                <w:szCs w:val="26"/>
              </w:rPr>
            </w:pPr>
            <w:r>
              <w:rPr>
                <w:sz w:val="26"/>
                <w:szCs w:val="26"/>
              </w:rPr>
              <w:t xml:space="preserve">1. проектируемой статьей 105.16-1 НК РФ </w:t>
            </w:r>
            <w:r w:rsidRPr="008B497A">
              <w:rPr>
                <w:sz w:val="26"/>
                <w:szCs w:val="26"/>
              </w:rPr>
              <w:t>установить, что международной группой компаний не признается субхолдинг, данные об участниках которого учитываются в составе страновых сведений по международной группе компаний;</w:t>
            </w:r>
          </w:p>
          <w:p w:rsidR="00451F48" w:rsidRPr="008B497A" w:rsidRDefault="00451F48" w:rsidP="002152ED">
            <w:pPr>
              <w:jc w:val="both"/>
              <w:rPr>
                <w:sz w:val="26"/>
                <w:szCs w:val="26"/>
              </w:rPr>
            </w:pPr>
            <w:r>
              <w:rPr>
                <w:sz w:val="26"/>
                <w:szCs w:val="26"/>
              </w:rPr>
              <w:t xml:space="preserve">2. проектируемой статьей 105.16-6 НК РФ </w:t>
            </w:r>
            <w:r w:rsidRPr="008B497A">
              <w:rPr>
                <w:sz w:val="26"/>
                <w:szCs w:val="26"/>
              </w:rPr>
              <w:t xml:space="preserve">конкретизировать порядок расчета показателей, которые </w:t>
            </w:r>
            <w:r w:rsidRPr="008B497A">
              <w:rPr>
                <w:sz w:val="26"/>
                <w:szCs w:val="26"/>
              </w:rPr>
              <w:lastRenderedPageBreak/>
              <w:t>указываются в страновом отчете, либо установить, что налогоплательщик вправе самостоятельно выработать подход к определению данных значений, с учетом правил бухгалтерского и (или) налогового учета, либо на основании собственных расчетов, которые могут быть закреплены в учетной политике;</w:t>
            </w:r>
          </w:p>
          <w:p w:rsidR="00451F48" w:rsidRDefault="00451F48" w:rsidP="002152ED">
            <w:pPr>
              <w:jc w:val="both"/>
              <w:rPr>
                <w:sz w:val="26"/>
                <w:szCs w:val="26"/>
              </w:rPr>
            </w:pPr>
            <w:r>
              <w:rPr>
                <w:sz w:val="26"/>
                <w:szCs w:val="26"/>
              </w:rPr>
              <w:t xml:space="preserve">3. в пункте 6 проектируемой статьи 105.16-1 НК РФ </w:t>
            </w:r>
            <w:r w:rsidRPr="008B497A">
              <w:rPr>
                <w:sz w:val="26"/>
                <w:szCs w:val="26"/>
              </w:rPr>
              <w:t xml:space="preserve">дополнить определение «финансовый год» </w:t>
            </w:r>
            <w:r>
              <w:rPr>
                <w:sz w:val="26"/>
                <w:szCs w:val="26"/>
              </w:rPr>
              <w:t>словами</w:t>
            </w:r>
            <w:r w:rsidRPr="008B497A">
              <w:rPr>
                <w:sz w:val="26"/>
                <w:szCs w:val="26"/>
              </w:rPr>
              <w:t>: «В целях заполнения странового отчета, в случае если налоговый/ финансовый период в государстве (территории) налогового резидентства участника международной группы компаний в соответствии с законодательством указанного государства (территории) отличен от периода, за который составляется или должна была бы составляться консолидированная финансовая отчетность международной группы компаний, информация, указанная в пункте 1 статьи 105</w:t>
            </w:r>
            <w:r>
              <w:rPr>
                <w:sz w:val="26"/>
                <w:szCs w:val="26"/>
              </w:rPr>
              <w:t xml:space="preserve">. </w:t>
            </w:r>
            <w:r w:rsidRPr="002152ED">
              <w:rPr>
                <w:sz w:val="26"/>
                <w:szCs w:val="26"/>
              </w:rPr>
              <w:t>16-6</w:t>
            </w:r>
            <w:r w:rsidRPr="008B497A">
              <w:rPr>
                <w:sz w:val="26"/>
                <w:szCs w:val="26"/>
              </w:rPr>
              <w:t xml:space="preserve"> настоящего Кодекса, в отношении указанного участника международной группы компаний при составлении странового отчета представляется за соответствующий налоговый/ финансовый период, </w:t>
            </w:r>
            <w:r w:rsidRPr="002152ED">
              <w:rPr>
                <w:sz w:val="26"/>
                <w:szCs w:val="26"/>
              </w:rPr>
              <w:t>окончившийся</w:t>
            </w:r>
            <w:r w:rsidRPr="008B497A">
              <w:rPr>
                <w:sz w:val="26"/>
                <w:szCs w:val="26"/>
              </w:rPr>
              <w:t xml:space="preserve"> в течение периода, за который составляется или должна была бы составляться консолидированная финансовая отчетность международной группы компаний».</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6</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E45885" w:rsidRDefault="00451F48" w:rsidP="003A023D">
            <w:pPr>
              <w:jc w:val="both"/>
              <w:rPr>
                <w:sz w:val="26"/>
                <w:szCs w:val="26"/>
              </w:rPr>
            </w:pPr>
            <w:r>
              <w:rPr>
                <w:sz w:val="26"/>
                <w:szCs w:val="26"/>
              </w:rPr>
              <w:t xml:space="preserve">Проект акта </w:t>
            </w:r>
            <w:r w:rsidRPr="00E45885">
              <w:rPr>
                <w:sz w:val="26"/>
                <w:szCs w:val="26"/>
              </w:rPr>
              <w:t xml:space="preserve">предусматривает обязанность организации финансового рынка предоставлять в федеральный орган исполнительной власти информацию </w:t>
            </w:r>
            <w:r>
              <w:rPr>
                <w:sz w:val="26"/>
                <w:szCs w:val="26"/>
              </w:rPr>
              <w:t>о клиентах, в отношении которых</w:t>
            </w:r>
            <w:r w:rsidRPr="00E45885">
              <w:rPr>
                <w:sz w:val="26"/>
                <w:szCs w:val="26"/>
              </w:rPr>
              <w:t xml:space="preserve"> на основании имеющейся у организации финан</w:t>
            </w:r>
            <w:r>
              <w:rPr>
                <w:sz w:val="26"/>
                <w:szCs w:val="26"/>
              </w:rPr>
              <w:t>сового рынка информации</w:t>
            </w:r>
            <w:r w:rsidRPr="00E45885">
              <w:rPr>
                <w:sz w:val="26"/>
                <w:szCs w:val="26"/>
              </w:rPr>
              <w:t xml:space="preserve"> выявлено, что они являются налоговыми резидентами иностранных государств.</w:t>
            </w:r>
          </w:p>
          <w:p w:rsidR="00451F48" w:rsidRPr="00E45885" w:rsidRDefault="00451F48" w:rsidP="003A023D">
            <w:pPr>
              <w:jc w:val="both"/>
              <w:rPr>
                <w:sz w:val="26"/>
                <w:szCs w:val="26"/>
              </w:rPr>
            </w:pPr>
            <w:r w:rsidRPr="00E45885">
              <w:rPr>
                <w:sz w:val="26"/>
                <w:szCs w:val="26"/>
              </w:rPr>
              <w:t>В международной практике статус налогового резидентства определяется на основе анализа совокупности различных прямых и косвенных признаков, характеризующих территориальные и экономические связи налогоплательщика с той или иной юрисдикцией. Большое количество таких признаков и неочевидность их трактовки осложняют выявление признаков налогового резидентства.</w:t>
            </w:r>
          </w:p>
          <w:p w:rsidR="00451F48" w:rsidRPr="00E45885" w:rsidRDefault="00451F48" w:rsidP="003A023D">
            <w:pPr>
              <w:jc w:val="both"/>
              <w:rPr>
                <w:sz w:val="26"/>
                <w:szCs w:val="26"/>
              </w:rPr>
            </w:pPr>
            <w:r w:rsidRPr="00E45885">
              <w:rPr>
                <w:sz w:val="26"/>
                <w:szCs w:val="26"/>
              </w:rPr>
              <w:t>Ключевым вопросом является достаточность мероприятий, которые должна провести организация финансового рынка, для принятия обоснованного решения о включении клиента в отчетность для автоматического обмена информацией.</w:t>
            </w:r>
          </w:p>
          <w:p w:rsidR="00451F48" w:rsidRPr="00E45885" w:rsidRDefault="00451F48" w:rsidP="003A023D">
            <w:pPr>
              <w:jc w:val="both"/>
              <w:rPr>
                <w:sz w:val="26"/>
                <w:szCs w:val="26"/>
              </w:rPr>
            </w:pPr>
            <w:r w:rsidRPr="00E45885">
              <w:rPr>
                <w:sz w:val="26"/>
                <w:szCs w:val="26"/>
              </w:rPr>
              <w:t xml:space="preserve">Детализированный анализ всей информации о клиенте, проведение дополнительных запросов, получение разъяснений от клиента, выявление противоречий потребуют от организаций финансового рынка несопоставимо высоких дополнительных финансовых затрат на доработку существующих автоматизированных систем идентификации клиентов и значительное увеличение штата сотрудников. Одновременно, упрощенное включение в отчетность для автоматического </w:t>
            </w:r>
            <w:r w:rsidRPr="00E45885">
              <w:rPr>
                <w:sz w:val="26"/>
                <w:szCs w:val="26"/>
              </w:rPr>
              <w:lastRenderedPageBreak/>
              <w:t>обмена всех клиентов, имеющих какой-либо признак связи с иностранной юрисдикцией, приведет к возникновению необоснованных претензий иностранных налоговых органов к клиентам именно российских финансовых организаций</w:t>
            </w:r>
            <w:r>
              <w:rPr>
                <w:sz w:val="26"/>
                <w:szCs w:val="26"/>
              </w:rPr>
              <w:t xml:space="preserve"> и, </w:t>
            </w:r>
            <w:r w:rsidRPr="00E45885">
              <w:rPr>
                <w:sz w:val="26"/>
                <w:szCs w:val="26"/>
              </w:rPr>
              <w:t>потенциально, к отказу таких клиентов от договорных отношений с организациями финансового рынка в Российской Федерации.</w:t>
            </w:r>
          </w:p>
          <w:p w:rsidR="00451F48" w:rsidRDefault="00451F48" w:rsidP="003A023D">
            <w:pPr>
              <w:jc w:val="both"/>
              <w:rPr>
                <w:sz w:val="26"/>
                <w:szCs w:val="26"/>
              </w:rPr>
            </w:pPr>
            <w:r w:rsidRPr="00E45885">
              <w:rPr>
                <w:sz w:val="26"/>
                <w:szCs w:val="26"/>
              </w:rPr>
              <w:t>По нашему мнению, достаточной мерой проведения организацией финансового рынка аналитических процедур необходимо считать проверку самосертификации на непротиворечивость в соответствии с принятыми в организации финансового рынка стандартными процедурами ПОД/ФТ. Соответственно, на организации финансового рынка не должна быть возложена обязанность отслеживать все особенности вопросов определения налогового резидентства каждого отдельного клиента, поскольку, учитывая разнообразие критериев и количество юрисдикций, принимающих участие в автоматическом обмене финансовой информацией, подобные действия потребуют совершенно необоснованных финансовых, трудовых и временных затрат со стороны организаций финансового рынка</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7</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6E5A02" w:rsidRDefault="00451F48" w:rsidP="00EB2F7A">
            <w:pPr>
              <w:jc w:val="both"/>
              <w:rPr>
                <w:sz w:val="26"/>
                <w:szCs w:val="26"/>
              </w:rPr>
            </w:pPr>
            <w:r>
              <w:rPr>
                <w:sz w:val="26"/>
                <w:szCs w:val="26"/>
              </w:rPr>
              <w:t xml:space="preserve">Проект акта </w:t>
            </w:r>
            <w:r w:rsidRPr="006E5A02">
              <w:rPr>
                <w:sz w:val="26"/>
                <w:szCs w:val="26"/>
              </w:rPr>
              <w:t>предлагаем дополнить следующими положениями:</w:t>
            </w:r>
          </w:p>
          <w:p w:rsidR="00451F48" w:rsidRPr="006E5A02" w:rsidRDefault="00451F48" w:rsidP="00EB2F7A">
            <w:pPr>
              <w:jc w:val="both"/>
              <w:rPr>
                <w:sz w:val="26"/>
                <w:szCs w:val="26"/>
              </w:rPr>
            </w:pPr>
            <w:r>
              <w:rPr>
                <w:sz w:val="26"/>
                <w:szCs w:val="26"/>
              </w:rPr>
              <w:t xml:space="preserve">1. Проектируемую статью </w:t>
            </w:r>
            <w:r w:rsidRPr="006E5A02">
              <w:rPr>
                <w:sz w:val="26"/>
                <w:szCs w:val="26"/>
              </w:rPr>
              <w:t xml:space="preserve">142 </w:t>
            </w:r>
            <w:r>
              <w:rPr>
                <w:sz w:val="26"/>
                <w:szCs w:val="26"/>
              </w:rPr>
              <w:t xml:space="preserve">НК РФ </w:t>
            </w:r>
            <w:r w:rsidRPr="006E5A02">
              <w:rPr>
                <w:sz w:val="26"/>
                <w:szCs w:val="26"/>
              </w:rPr>
              <w:t>дополнить следующим пунктом: «Правительство Российской Федерации (или иной уполномоченный орган) устанавливает перечень категорий клиентов и иных лиц, в отношении которых у организаций финансового рынка не возникает обязанности по передаче информации федеральному органу</w:t>
            </w:r>
            <w:r>
              <w:rPr>
                <w:sz w:val="26"/>
                <w:szCs w:val="26"/>
              </w:rPr>
              <w:t xml:space="preserve"> </w:t>
            </w:r>
            <w:r w:rsidRPr="006E5A02">
              <w:rPr>
                <w:sz w:val="26"/>
                <w:szCs w:val="26"/>
              </w:rPr>
              <w:t>исполнительной власти, уполномоченному по контролю и надзору в области налогов и сборов».</w:t>
            </w:r>
          </w:p>
          <w:p w:rsidR="00451F48" w:rsidRPr="006E5A02" w:rsidRDefault="00451F48" w:rsidP="00EB2F7A">
            <w:pPr>
              <w:jc w:val="both"/>
              <w:rPr>
                <w:sz w:val="26"/>
                <w:szCs w:val="26"/>
              </w:rPr>
            </w:pPr>
            <w:r>
              <w:rPr>
                <w:sz w:val="26"/>
                <w:szCs w:val="26"/>
              </w:rPr>
              <w:t xml:space="preserve">2. Пункт 1 проектируемой статьи 142.4 НК РФ </w:t>
            </w:r>
            <w:r w:rsidRPr="006E5A02">
              <w:rPr>
                <w:sz w:val="26"/>
                <w:szCs w:val="26"/>
              </w:rPr>
              <w:t>дополнить следующим</w:t>
            </w:r>
            <w:r>
              <w:rPr>
                <w:sz w:val="26"/>
                <w:szCs w:val="26"/>
              </w:rPr>
              <w:t>и</w:t>
            </w:r>
            <w:r w:rsidRPr="006E5A02">
              <w:rPr>
                <w:sz w:val="26"/>
                <w:szCs w:val="26"/>
              </w:rPr>
              <w:t xml:space="preserve"> </w:t>
            </w:r>
            <w:r>
              <w:rPr>
                <w:sz w:val="26"/>
                <w:szCs w:val="26"/>
              </w:rPr>
              <w:t>словами</w:t>
            </w:r>
            <w:r w:rsidRPr="006E5A02">
              <w:rPr>
                <w:sz w:val="26"/>
                <w:szCs w:val="26"/>
              </w:rPr>
              <w:t>: «Организация финансового рынка не несет обязанности по проведению анализа налогового законодательства иностранных государств для подтверждения достоверности предоставленной клиентом информации о налоговом резидентстве клиента, выгодоприобретателя и лиц, прямо или косвенно контролирующих клиента».</w:t>
            </w:r>
          </w:p>
          <w:p w:rsidR="00451F48" w:rsidRDefault="00451F48" w:rsidP="00EB2F7A">
            <w:pPr>
              <w:jc w:val="both"/>
              <w:rPr>
                <w:sz w:val="26"/>
                <w:szCs w:val="26"/>
              </w:rPr>
            </w:pPr>
            <w:r>
              <w:rPr>
                <w:sz w:val="26"/>
                <w:szCs w:val="26"/>
              </w:rPr>
              <w:t xml:space="preserve">3. Пункт 2 проектируемой статьи 142.4 НК РФ </w:t>
            </w:r>
            <w:r w:rsidRPr="006E5A02">
              <w:rPr>
                <w:sz w:val="26"/>
                <w:szCs w:val="26"/>
              </w:rPr>
              <w:t>дополнить следующим</w:t>
            </w:r>
            <w:r>
              <w:rPr>
                <w:sz w:val="26"/>
                <w:szCs w:val="26"/>
              </w:rPr>
              <w:t>и</w:t>
            </w:r>
            <w:r w:rsidRPr="006E5A02">
              <w:rPr>
                <w:sz w:val="26"/>
                <w:szCs w:val="26"/>
              </w:rPr>
              <w:t xml:space="preserve"> </w:t>
            </w:r>
            <w:r>
              <w:rPr>
                <w:sz w:val="26"/>
                <w:szCs w:val="26"/>
              </w:rPr>
              <w:t>словами</w:t>
            </w:r>
            <w:r w:rsidRPr="006E5A02">
              <w:rPr>
                <w:sz w:val="26"/>
                <w:szCs w:val="26"/>
              </w:rPr>
              <w:t>: «В случае изменений в информации, ранее предоставленной организации финансового рынка, клиент обязан предоставить обновленные сведения в течение 30 (тридцати) дней с момента, когда ему стало известно о таком изменении. Во всех остальных случаях при последующих обращениях в организацию финансового рынка, которой уже предоставлялась информация, повторное предоставление информации не требуется».</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8</w:t>
            </w:r>
          </w:p>
        </w:tc>
        <w:tc>
          <w:tcPr>
            <w:tcW w:w="1852" w:type="dxa"/>
            <w:vAlign w:val="center"/>
          </w:tcPr>
          <w:p w:rsidR="00451F48" w:rsidRDefault="00451F48" w:rsidP="00902DC6">
            <w:pPr>
              <w:suppressAutoHyphens/>
              <w:jc w:val="center"/>
            </w:pPr>
            <w:r>
              <w:t>Проектируемая статья 105.16-1 НК РФ</w:t>
            </w:r>
          </w:p>
        </w:tc>
        <w:tc>
          <w:tcPr>
            <w:tcW w:w="11547" w:type="dxa"/>
            <w:vAlign w:val="center"/>
          </w:tcPr>
          <w:p w:rsidR="00451F48" w:rsidRDefault="00451F48" w:rsidP="00D67EC3">
            <w:pPr>
              <w:jc w:val="both"/>
              <w:rPr>
                <w:sz w:val="26"/>
                <w:szCs w:val="26"/>
              </w:rPr>
            </w:pPr>
            <w:r w:rsidRPr="00610B88">
              <w:rPr>
                <w:sz w:val="26"/>
                <w:szCs w:val="26"/>
              </w:rPr>
              <w:t xml:space="preserve">Пункт 2 </w:t>
            </w:r>
            <w:r>
              <w:rPr>
                <w:sz w:val="26"/>
                <w:szCs w:val="26"/>
              </w:rPr>
              <w:t xml:space="preserve">проектируемой </w:t>
            </w:r>
            <w:r w:rsidRPr="00610B88">
              <w:rPr>
                <w:sz w:val="26"/>
                <w:szCs w:val="26"/>
              </w:rPr>
              <w:t>статьи 105</w:t>
            </w:r>
            <w:r>
              <w:rPr>
                <w:sz w:val="26"/>
                <w:szCs w:val="26"/>
              </w:rPr>
              <w:t>.16-1 НК РФ</w:t>
            </w:r>
            <w:r w:rsidRPr="00610B88">
              <w:rPr>
                <w:sz w:val="26"/>
                <w:szCs w:val="26"/>
              </w:rPr>
              <w:t xml:space="preserve"> предусматривает включение в состав</w:t>
            </w:r>
            <w:r>
              <w:rPr>
                <w:sz w:val="26"/>
                <w:szCs w:val="26"/>
              </w:rPr>
              <w:t xml:space="preserve"> международной группы компаний </w:t>
            </w:r>
            <w:r w:rsidRPr="00610B88">
              <w:rPr>
                <w:sz w:val="26"/>
                <w:szCs w:val="26"/>
              </w:rPr>
              <w:t>в целях НК РФ обособленного подразделения участника международной группы компаний, деятельность которого приводит к образованию постоянного представительства. Таким образом, в рамках состава международной группы компаний многократно может учитываться одно и то же лицо, что не представляется корректным ни с точки зрения гражданско-правового статуса юридического лица, ни с точки зрения статуса субъекта права в международном частном праве.</w:t>
            </w:r>
            <w:r>
              <w:rPr>
                <w:sz w:val="26"/>
                <w:szCs w:val="26"/>
              </w:rPr>
              <w:t xml:space="preserve"> </w:t>
            </w:r>
            <w:r w:rsidRPr="00610B88">
              <w:rPr>
                <w:sz w:val="26"/>
                <w:szCs w:val="26"/>
              </w:rPr>
              <w:t>Предлагается предусмотреть в</w:t>
            </w:r>
            <w:r>
              <w:rPr>
                <w:sz w:val="26"/>
                <w:szCs w:val="26"/>
              </w:rPr>
              <w:t xml:space="preserve"> проекте акта</w:t>
            </w:r>
            <w:r w:rsidRPr="00610B88">
              <w:rPr>
                <w:sz w:val="26"/>
                <w:szCs w:val="26"/>
              </w:rPr>
              <w:t xml:space="preserve">, что лицо, образующее постоянное представительство в каком-либо государстве – участнике Конвенции о взаимной административной помощи по налоговым делам, многосторонних соглашений об автоматическом обмене страновыми отчетами от </w:t>
            </w:r>
            <w:r>
              <w:rPr>
                <w:sz w:val="26"/>
                <w:szCs w:val="26"/>
              </w:rPr>
              <w:t>27 января 2016 г.</w:t>
            </w:r>
            <w:r w:rsidRPr="00610B88">
              <w:rPr>
                <w:sz w:val="26"/>
                <w:szCs w:val="26"/>
              </w:rPr>
              <w:t xml:space="preserve">, об автоматическом обмене финансовой информацией от </w:t>
            </w:r>
            <w:r>
              <w:rPr>
                <w:sz w:val="26"/>
                <w:szCs w:val="26"/>
              </w:rPr>
              <w:t>29 октября 2014 г.</w:t>
            </w:r>
            <w:r w:rsidRPr="00610B88">
              <w:rPr>
                <w:sz w:val="26"/>
                <w:szCs w:val="26"/>
              </w:rPr>
              <w:t>, подлежит включению в состав международной группы компаний только в случае, если оно не включено в состав международной группы компаний по факту его государственной регистрации в государстве – участнике международных соглашений.</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9</w:t>
            </w:r>
          </w:p>
        </w:tc>
        <w:tc>
          <w:tcPr>
            <w:tcW w:w="1852" w:type="dxa"/>
            <w:vAlign w:val="center"/>
          </w:tcPr>
          <w:p w:rsidR="00451F48" w:rsidRDefault="00451F48" w:rsidP="000131B8">
            <w:pPr>
              <w:suppressAutoHyphens/>
              <w:jc w:val="center"/>
            </w:pPr>
            <w:r>
              <w:t>Проектируемые статьи 105.16-1 и 105.16-3 проекта акта</w:t>
            </w:r>
          </w:p>
        </w:tc>
        <w:tc>
          <w:tcPr>
            <w:tcW w:w="11547" w:type="dxa"/>
            <w:vAlign w:val="center"/>
          </w:tcPr>
          <w:p w:rsidR="00451F48" w:rsidRPr="00F50D08" w:rsidRDefault="00451F48" w:rsidP="00747D7F">
            <w:pPr>
              <w:jc w:val="both"/>
              <w:rPr>
                <w:rStyle w:val="pt-000004"/>
                <w:sz w:val="26"/>
                <w:szCs w:val="26"/>
              </w:rPr>
            </w:pPr>
            <w:r>
              <w:rPr>
                <w:rStyle w:val="pt-000004"/>
                <w:sz w:val="26"/>
                <w:szCs w:val="26"/>
              </w:rPr>
              <w:t xml:space="preserve">Положения подпункта 2 пункта 6 проектируемой статьи 105.16-1 НК РФ противоречат пункту 2 проектируемой статьи 105.16-3 НК РФ. Согласно подпункту 2 пункта 6 проектируемой статьи 105.16-1 НК РФ </w:t>
            </w:r>
            <w:r w:rsidRPr="00F50D08">
              <w:rPr>
                <w:rStyle w:val="pt-000004"/>
                <w:sz w:val="26"/>
                <w:szCs w:val="26"/>
              </w:rPr>
              <w:t>уполномоченный материнской компанией участник международной группы компаний может представлять в федеральный орган исполнительной вл</w:t>
            </w:r>
            <w:r>
              <w:rPr>
                <w:rStyle w:val="pt-000004"/>
                <w:sz w:val="26"/>
                <w:szCs w:val="26"/>
              </w:rPr>
              <w:t xml:space="preserve">асти (если он был уполномочен) </w:t>
            </w:r>
            <w:r w:rsidRPr="00F50D08">
              <w:rPr>
                <w:rStyle w:val="pt-000004"/>
                <w:sz w:val="26"/>
                <w:szCs w:val="26"/>
              </w:rPr>
              <w:t xml:space="preserve">как страновой отчет, </w:t>
            </w:r>
            <w:r>
              <w:rPr>
                <w:rStyle w:val="pt-000004"/>
                <w:sz w:val="26"/>
                <w:szCs w:val="26"/>
              </w:rPr>
              <w:t xml:space="preserve">так и глобальную документацию. </w:t>
            </w:r>
            <w:r w:rsidRPr="00F50D08">
              <w:rPr>
                <w:rStyle w:val="pt-000004"/>
                <w:sz w:val="26"/>
                <w:szCs w:val="26"/>
              </w:rPr>
              <w:t>Согласно</w:t>
            </w:r>
            <w:r>
              <w:rPr>
                <w:rStyle w:val="pt-000004"/>
                <w:sz w:val="26"/>
                <w:szCs w:val="26"/>
              </w:rPr>
              <w:t xml:space="preserve"> пункту 2 проектируемой статьи 105.16-3 НК РФ </w:t>
            </w:r>
            <w:r w:rsidRPr="00F50D08">
              <w:rPr>
                <w:rStyle w:val="pt-000004"/>
                <w:sz w:val="26"/>
                <w:szCs w:val="26"/>
              </w:rPr>
              <w:t xml:space="preserve">такой уполномоченный участник может представлять только страновой отчет; глобальную и национальную документацию представляют сами участники международной группы компаний.   </w:t>
            </w:r>
          </w:p>
          <w:p w:rsidR="00451F48" w:rsidRDefault="00451F48" w:rsidP="00747D7F">
            <w:pPr>
              <w:pStyle w:val="a7"/>
              <w:ind w:left="0"/>
              <w:jc w:val="both"/>
              <w:rPr>
                <w:sz w:val="26"/>
                <w:szCs w:val="26"/>
              </w:rPr>
            </w:pPr>
            <w:r>
              <w:rPr>
                <w:rStyle w:val="pt-000004"/>
                <w:rFonts w:ascii="Times New Roman" w:hAnsi="Times New Roman" w:cs="Times New Roman"/>
                <w:sz w:val="26"/>
                <w:szCs w:val="26"/>
              </w:rPr>
              <w:t>С учетом изложенного необходимо привести в соответствие указанные положения проекта акта.</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10</w:t>
            </w:r>
          </w:p>
        </w:tc>
        <w:tc>
          <w:tcPr>
            <w:tcW w:w="1852" w:type="dxa"/>
            <w:vAlign w:val="center"/>
          </w:tcPr>
          <w:p w:rsidR="00451F48" w:rsidRDefault="00451F48" w:rsidP="008C5D70">
            <w:pPr>
              <w:suppressAutoHyphens/>
              <w:jc w:val="center"/>
            </w:pPr>
            <w:r>
              <w:t>Проектируемая статья 105.16-3 НК РФ</w:t>
            </w:r>
          </w:p>
        </w:tc>
        <w:tc>
          <w:tcPr>
            <w:tcW w:w="11547" w:type="dxa"/>
            <w:vAlign w:val="center"/>
          </w:tcPr>
          <w:p w:rsidR="00451F48" w:rsidRDefault="00451F48" w:rsidP="00D67EC3">
            <w:pPr>
              <w:jc w:val="both"/>
              <w:rPr>
                <w:sz w:val="26"/>
                <w:szCs w:val="26"/>
              </w:rPr>
            </w:pPr>
            <w:r>
              <w:rPr>
                <w:rStyle w:val="pt-000004"/>
                <w:sz w:val="26"/>
                <w:szCs w:val="26"/>
              </w:rPr>
              <w:t xml:space="preserve">Также непонятны </w:t>
            </w:r>
            <w:r w:rsidRPr="00F50D08">
              <w:rPr>
                <w:rStyle w:val="pt-000004"/>
                <w:sz w:val="26"/>
                <w:szCs w:val="26"/>
              </w:rPr>
              <w:t>причины отсутствия упоминания национальной документации в</w:t>
            </w:r>
            <w:r>
              <w:rPr>
                <w:rStyle w:val="pt-000004"/>
                <w:sz w:val="26"/>
                <w:szCs w:val="26"/>
              </w:rPr>
              <w:t xml:space="preserve"> пункте 5 проектируемой статьи 105.16-3 НК РФ </w:t>
            </w:r>
            <w:r w:rsidRPr="00F50D08">
              <w:rPr>
                <w:rStyle w:val="pt-000004"/>
                <w:sz w:val="26"/>
                <w:szCs w:val="26"/>
              </w:rPr>
              <w:t>как документации, которая может содержать информацию, содержащую государственную тайну</w:t>
            </w:r>
            <w:r>
              <w:rPr>
                <w:rStyle w:val="pt-000004"/>
                <w:sz w:val="26"/>
                <w:szCs w:val="26"/>
              </w:rPr>
              <w:t xml:space="preserve"> </w:t>
            </w:r>
            <w:r w:rsidRPr="00F50D08">
              <w:rPr>
                <w:rStyle w:val="pt-000004"/>
                <w:sz w:val="26"/>
                <w:szCs w:val="26"/>
              </w:rPr>
              <w:t xml:space="preserve">и (или) информацию, прямо и (или) косвенно, свидетельствующую о военно-техническом сотрудничестве с иностранными государствами. Необходимо предусмотреть в </w:t>
            </w:r>
            <w:r>
              <w:rPr>
                <w:rStyle w:val="pt-000004"/>
                <w:sz w:val="26"/>
                <w:szCs w:val="26"/>
              </w:rPr>
              <w:t xml:space="preserve">проекте акта </w:t>
            </w:r>
            <w:r w:rsidRPr="00F50D08">
              <w:rPr>
                <w:rStyle w:val="pt-000004"/>
                <w:sz w:val="26"/>
                <w:szCs w:val="26"/>
              </w:rPr>
              <w:t xml:space="preserve">нормы, исключающие передачу Российской Федерацией запрещенной или ограниченной в обороте информации в рамках </w:t>
            </w:r>
            <w:r w:rsidRPr="00F50D08">
              <w:rPr>
                <w:sz w:val="26"/>
                <w:szCs w:val="26"/>
              </w:rPr>
              <w:t>автоматического обмена финансовой информацией.</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11</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172F95" w:rsidRDefault="00451F48" w:rsidP="002C04D8">
            <w:pPr>
              <w:jc w:val="both"/>
              <w:rPr>
                <w:sz w:val="26"/>
                <w:szCs w:val="26"/>
              </w:rPr>
            </w:pPr>
            <w:r>
              <w:rPr>
                <w:sz w:val="26"/>
                <w:szCs w:val="26"/>
              </w:rPr>
              <w:t xml:space="preserve">Принятие проекта акта может повлечь дополнительные расходы бизнеса, связанные с реализацией предлагаемого регулирования. </w:t>
            </w:r>
            <w:r w:rsidRPr="00172F95">
              <w:rPr>
                <w:sz w:val="26"/>
                <w:szCs w:val="26"/>
              </w:rPr>
              <w:t>В настоящий момент не представляется возможным оценить финансовую сторону данного вопроса, поскольку он требует соста</w:t>
            </w:r>
            <w:r>
              <w:rPr>
                <w:sz w:val="26"/>
                <w:szCs w:val="26"/>
              </w:rPr>
              <w:t xml:space="preserve">вления детального бизнес-плана. </w:t>
            </w:r>
            <w:r w:rsidRPr="00172F95">
              <w:rPr>
                <w:sz w:val="26"/>
                <w:szCs w:val="26"/>
              </w:rPr>
              <w:t>По предварительному анализу, бизнес-план, направленный на реализацию</w:t>
            </w:r>
            <w:r>
              <w:rPr>
                <w:sz w:val="26"/>
                <w:szCs w:val="26"/>
              </w:rPr>
              <w:t xml:space="preserve"> требований проекта акта</w:t>
            </w:r>
            <w:r w:rsidRPr="00172F95">
              <w:rPr>
                <w:sz w:val="26"/>
                <w:szCs w:val="26"/>
              </w:rPr>
              <w:t>, будет иметь следующие существенные статьи расходов: создание нового подразделения, обучение и (или) расходы на переквалификацию сотрудников, ФОТ и налоги с ФОТ сотрудников, обеспечение рабочих мест сотрудников, социальные гарантии, извлечение денежных средств, необходимых для основного производства, как следствие, сокращение производственных программ и инвестиционных проектов. Кроме того, проект предполагает автоматизацию данного участка, в связи с чем</w:t>
            </w:r>
            <w:r>
              <w:rPr>
                <w:sz w:val="26"/>
                <w:szCs w:val="26"/>
              </w:rPr>
              <w:t xml:space="preserve"> </w:t>
            </w:r>
            <w:r w:rsidRPr="00172F95">
              <w:rPr>
                <w:sz w:val="26"/>
                <w:szCs w:val="26"/>
              </w:rPr>
              <w:t xml:space="preserve">налогоплательщику необходимо приобретение дополнительного оборудования с заданными характеристиками. </w:t>
            </w:r>
          </w:p>
          <w:p w:rsidR="00451F48" w:rsidRDefault="00451F48" w:rsidP="002C04D8">
            <w:pPr>
              <w:jc w:val="both"/>
              <w:rPr>
                <w:sz w:val="26"/>
                <w:szCs w:val="26"/>
              </w:rPr>
            </w:pPr>
            <w:r w:rsidRPr="00172F95">
              <w:rPr>
                <w:sz w:val="26"/>
                <w:szCs w:val="26"/>
              </w:rPr>
              <w:t xml:space="preserve">Кроме того, ввиду неоднозначности трактовки терминов и определений, на которых основывается </w:t>
            </w:r>
            <w:r>
              <w:rPr>
                <w:sz w:val="26"/>
                <w:szCs w:val="26"/>
              </w:rPr>
              <w:t>проект акта</w:t>
            </w:r>
            <w:r w:rsidRPr="00172F95">
              <w:rPr>
                <w:sz w:val="26"/>
                <w:szCs w:val="26"/>
              </w:rPr>
              <w:t>, высока вероятность привлечения налогоплательщиков к ответственности.</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12</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Default="00451F48" w:rsidP="007A590A">
            <w:pPr>
              <w:pStyle w:val="af5"/>
              <w:tabs>
                <w:tab w:val="left" w:pos="0"/>
              </w:tabs>
              <w:jc w:val="both"/>
              <w:rPr>
                <w:sz w:val="26"/>
                <w:szCs w:val="26"/>
              </w:rPr>
            </w:pPr>
            <w:r w:rsidRPr="00121D34">
              <w:rPr>
                <w:bCs/>
                <w:sz w:val="26"/>
                <w:szCs w:val="26"/>
              </w:rPr>
              <w:t>Термины «организация финансового рынка», «финансовые услуги», «финансовая информация» в проекте акта определены путем приведения открытого перечня примеров с оговорками «иные организации и структуры без образования юридического лица, которые в рамках своей деятельности принимают от клиентов денежные средства или финансовые активы для хранения, управления инвестирования и (или) осуществления иных сделок в интересах клиента либо прямо или косвенно за счет клиента», «иные сделки в интересах клиента либо прямо или косвенно за счет клиента», «информация, находящаяся в распоряжении организации финансового рынка в соответствии с  …. иными договорами, в рамках которых организация финансового рынка принимает от клиентов денежные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то есть, без достаточного ограничения по сферам деятельности таких организаций, предмету договоров, перечню информации и ее источниках. Кроме того, как указано выше, требования к составу представляемой информации подлежат уточнению на уровне подзаконных нормативных правовых актов Правительства Российской Федерации.</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13</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Default="00451F48" w:rsidP="005D72AB">
            <w:pPr>
              <w:pStyle w:val="af5"/>
              <w:tabs>
                <w:tab w:val="left" w:pos="0"/>
              </w:tabs>
              <w:jc w:val="both"/>
              <w:rPr>
                <w:sz w:val="26"/>
                <w:szCs w:val="26"/>
              </w:rPr>
            </w:pPr>
            <w:r w:rsidRPr="00894ECF">
              <w:rPr>
                <w:bCs/>
                <w:sz w:val="26"/>
                <w:szCs w:val="26"/>
              </w:rPr>
              <w:t xml:space="preserve">Проектом акта не определено понятие «налогового резидента иностранных государств», а также не определены необходимые мероприятия для присвоения указанного статуса (в части необходимых мер по установлению налогового резидентства приведена ссылка к порядку, который будет </w:t>
            </w:r>
            <w:r w:rsidRPr="00894ECF">
              <w:rPr>
                <w:bCs/>
                <w:sz w:val="26"/>
                <w:szCs w:val="26"/>
              </w:rPr>
              <w:lastRenderedPageBreak/>
              <w:t xml:space="preserve">определен на уровне подзаконных нормативных правовых актов Правительства Российской Федерации). С учетом различных требования в национальных законодательствам иностранных государств в части критериев налогового резидентства, а также не определенных на законодательном уровне стандартов установления необходимой информации, представляется затруднительным формирование в кредитной организации методологии идентификации клиентов для целей </w:t>
            </w:r>
            <w:r>
              <w:rPr>
                <w:bCs/>
                <w:sz w:val="26"/>
                <w:szCs w:val="26"/>
              </w:rPr>
              <w:t>проекта акта</w:t>
            </w:r>
            <w:r w:rsidRPr="00894ECF">
              <w:rPr>
                <w:bCs/>
                <w:sz w:val="26"/>
                <w:szCs w:val="26"/>
              </w:rPr>
              <w:t>. Кроме того, с учетом изложенного, не ясен порядок установления полноты и достаточности, предос</w:t>
            </w:r>
            <w:r>
              <w:rPr>
                <w:bCs/>
                <w:sz w:val="26"/>
                <w:szCs w:val="26"/>
              </w:rPr>
              <w:t xml:space="preserve">тавленной клиентом информации, </w:t>
            </w:r>
            <w:r w:rsidRPr="00894ECF">
              <w:rPr>
                <w:bCs/>
                <w:sz w:val="26"/>
                <w:szCs w:val="26"/>
              </w:rPr>
              <w:t xml:space="preserve">а также выявления в ней противоречий, что предусмотрено </w:t>
            </w:r>
            <w:r>
              <w:rPr>
                <w:bCs/>
                <w:sz w:val="26"/>
                <w:szCs w:val="26"/>
              </w:rPr>
              <w:t xml:space="preserve">пунктом 9 проектируемой статьи 142.4 </w:t>
            </w:r>
            <w:r w:rsidRPr="00894ECF">
              <w:rPr>
                <w:bCs/>
                <w:sz w:val="26"/>
                <w:szCs w:val="26"/>
              </w:rPr>
              <w:t>НК РФ.</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14</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Default="00451F48" w:rsidP="005D72AB">
            <w:pPr>
              <w:pStyle w:val="af5"/>
              <w:tabs>
                <w:tab w:val="left" w:pos="0"/>
              </w:tabs>
              <w:jc w:val="both"/>
              <w:rPr>
                <w:sz w:val="26"/>
                <w:szCs w:val="26"/>
              </w:rPr>
            </w:pPr>
            <w:r w:rsidRPr="00C84B58">
              <w:rPr>
                <w:bCs/>
                <w:sz w:val="26"/>
                <w:szCs w:val="26"/>
              </w:rPr>
              <w:t xml:space="preserve">Проектом акта введено понятие «выгодоприобретатель» и предусмотрена обязанность для организаций финансового рынка по его идентификации и предоставления информации о нем. Отмечаем, что данное требование не предусмотрено стандартом </w:t>
            </w:r>
            <w:r w:rsidRPr="00C84B58">
              <w:rPr>
                <w:bCs/>
                <w:sz w:val="26"/>
                <w:szCs w:val="26"/>
                <w:lang w:val="en-US"/>
              </w:rPr>
              <w:t>CRS</w:t>
            </w:r>
            <w:r w:rsidRPr="00C84B58">
              <w:rPr>
                <w:b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15</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Default="00451F48" w:rsidP="0079692F">
            <w:pPr>
              <w:pStyle w:val="af5"/>
              <w:tabs>
                <w:tab w:val="left" w:pos="0"/>
              </w:tabs>
              <w:jc w:val="both"/>
              <w:rPr>
                <w:sz w:val="26"/>
                <w:szCs w:val="26"/>
              </w:rPr>
            </w:pPr>
            <w:r w:rsidRPr="00C84B58">
              <w:rPr>
                <w:bCs/>
                <w:sz w:val="26"/>
                <w:szCs w:val="26"/>
              </w:rPr>
              <w:t>Предусмотренный проектом акта шестидесятидневный срок, по истечению которого договор, предусматривающий оказание финансовых услуг, считается расторгнутым (в порядке, предусмотренном</w:t>
            </w:r>
            <w:r>
              <w:rPr>
                <w:bCs/>
                <w:sz w:val="26"/>
                <w:szCs w:val="26"/>
              </w:rPr>
              <w:t xml:space="preserve"> пунктом 8 проектируемой статьи </w:t>
            </w:r>
            <w:r w:rsidRPr="00C84B58">
              <w:rPr>
                <w:bCs/>
                <w:sz w:val="26"/>
                <w:szCs w:val="26"/>
              </w:rPr>
              <w:t>142.4 НК РФ), представляется чрезмерным, в связи с чем предлагаем дополнить</w:t>
            </w:r>
            <w:r>
              <w:rPr>
                <w:bCs/>
                <w:sz w:val="26"/>
                <w:szCs w:val="26"/>
              </w:rPr>
              <w:t xml:space="preserve"> пункт 9 проектируемой статьи 142.4 НК РФ словами </w:t>
            </w:r>
            <w:r w:rsidRPr="00C84B58">
              <w:rPr>
                <w:bCs/>
                <w:sz w:val="26"/>
                <w:szCs w:val="26"/>
              </w:rPr>
              <w:t>«если иной срок не установлен договором, предусматривающим оказание финансовых услуг».</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16</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Default="00451F48" w:rsidP="00F22C22">
            <w:pPr>
              <w:pStyle w:val="af5"/>
              <w:tabs>
                <w:tab w:val="left" w:pos="0"/>
              </w:tabs>
              <w:jc w:val="both"/>
              <w:rPr>
                <w:sz w:val="26"/>
                <w:szCs w:val="26"/>
              </w:rPr>
            </w:pPr>
            <w:r>
              <w:rPr>
                <w:bCs/>
                <w:sz w:val="26"/>
                <w:szCs w:val="26"/>
              </w:rPr>
              <w:t>И</w:t>
            </w:r>
            <w:r w:rsidRPr="008333BF">
              <w:rPr>
                <w:bCs/>
                <w:sz w:val="26"/>
                <w:szCs w:val="26"/>
              </w:rPr>
              <w:t xml:space="preserve">з </w:t>
            </w:r>
            <w:r>
              <w:rPr>
                <w:bCs/>
                <w:sz w:val="26"/>
                <w:szCs w:val="26"/>
              </w:rPr>
              <w:t>проекта акта</w:t>
            </w:r>
            <w:r w:rsidRPr="008333BF">
              <w:rPr>
                <w:bCs/>
                <w:sz w:val="26"/>
                <w:szCs w:val="26"/>
              </w:rPr>
              <w:t xml:space="preserve"> однозначно не ясен объем подлежащей анализу и </w:t>
            </w:r>
            <w:r>
              <w:rPr>
                <w:bCs/>
                <w:sz w:val="26"/>
                <w:szCs w:val="26"/>
              </w:rPr>
              <w:t>представлению</w:t>
            </w:r>
            <w:r w:rsidRPr="008333BF">
              <w:rPr>
                <w:bCs/>
                <w:sz w:val="26"/>
                <w:szCs w:val="26"/>
              </w:rPr>
              <w:t xml:space="preserve"> в рамках </w:t>
            </w:r>
            <w:r>
              <w:rPr>
                <w:bCs/>
                <w:sz w:val="26"/>
                <w:szCs w:val="26"/>
              </w:rPr>
              <w:t xml:space="preserve">проектируемой </w:t>
            </w:r>
            <w:r w:rsidRPr="008333BF">
              <w:rPr>
                <w:bCs/>
                <w:sz w:val="26"/>
                <w:szCs w:val="26"/>
              </w:rPr>
              <w:t xml:space="preserve">главы 20.1 НК РФ информации, что затрудняет проведение кредитной организацией необходимых внутренних процедур для целей соответствия требованиям законодательства, а также создает правовую неопределенность в отношениях кредитной организации с ее клиентами (например, в части необходимости запрашивать у них дополнительные сведения и их объем, возможности распространения на продукты и услуги требований </w:t>
            </w:r>
            <w:r>
              <w:rPr>
                <w:bCs/>
                <w:sz w:val="26"/>
                <w:szCs w:val="26"/>
              </w:rPr>
              <w:t xml:space="preserve">пунктов </w:t>
            </w:r>
            <w:r w:rsidRPr="008333BF">
              <w:rPr>
                <w:bCs/>
                <w:sz w:val="26"/>
                <w:szCs w:val="26"/>
              </w:rPr>
              <w:t xml:space="preserve"> 4 и 5 </w:t>
            </w:r>
            <w:r>
              <w:rPr>
                <w:bCs/>
                <w:sz w:val="26"/>
                <w:szCs w:val="26"/>
              </w:rPr>
              <w:t xml:space="preserve">проектируемой статьи </w:t>
            </w:r>
            <w:r w:rsidRPr="008333BF">
              <w:rPr>
                <w:bCs/>
                <w:sz w:val="26"/>
                <w:szCs w:val="26"/>
              </w:rPr>
              <w:t>142.4 НК РФ в части отказа от заключения договора, совершения операции, расторжения договора в одностороннем порядке и проч.).</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17</w:t>
            </w:r>
          </w:p>
        </w:tc>
        <w:tc>
          <w:tcPr>
            <w:tcW w:w="1852" w:type="dxa"/>
            <w:vAlign w:val="center"/>
          </w:tcPr>
          <w:p w:rsidR="00451F48" w:rsidRDefault="00451F48" w:rsidP="000131B8">
            <w:pPr>
              <w:suppressAutoHyphens/>
              <w:jc w:val="center"/>
            </w:pPr>
            <w:r>
              <w:t>Проектируемая статья 142.1 НК РФ</w:t>
            </w:r>
          </w:p>
        </w:tc>
        <w:tc>
          <w:tcPr>
            <w:tcW w:w="11547" w:type="dxa"/>
            <w:vAlign w:val="center"/>
          </w:tcPr>
          <w:p w:rsidR="00451F48" w:rsidRPr="003B10D6" w:rsidRDefault="00451F48" w:rsidP="00516E41">
            <w:pPr>
              <w:jc w:val="both"/>
              <w:rPr>
                <w:sz w:val="26"/>
                <w:szCs w:val="26"/>
              </w:rPr>
            </w:pPr>
            <w:r w:rsidRPr="003B10D6">
              <w:rPr>
                <w:sz w:val="26"/>
                <w:szCs w:val="26"/>
              </w:rPr>
              <w:t>Согласно</w:t>
            </w:r>
            <w:r>
              <w:rPr>
                <w:sz w:val="26"/>
                <w:szCs w:val="26"/>
              </w:rPr>
              <w:t xml:space="preserve"> положениям подпункта 8 проектируемой статьи 142.1 НК РФ </w:t>
            </w:r>
            <w:r w:rsidRPr="003B10D6">
              <w:rPr>
                <w:sz w:val="26"/>
                <w:szCs w:val="26"/>
              </w:rPr>
              <w:t xml:space="preserve">для налоговых целей при осуществлении автоматического обмена финансовой информацией с иностранными государствами (территориями) недвижимое имущество, а также драгоценные металлы не признаются финансовыми активами. </w:t>
            </w:r>
          </w:p>
          <w:p w:rsidR="00451F48" w:rsidRPr="003B10D6" w:rsidRDefault="00451F48" w:rsidP="00516E41">
            <w:pPr>
              <w:jc w:val="both"/>
              <w:rPr>
                <w:sz w:val="26"/>
                <w:szCs w:val="26"/>
              </w:rPr>
            </w:pPr>
            <w:r w:rsidRPr="003B10D6">
              <w:rPr>
                <w:sz w:val="26"/>
                <w:szCs w:val="26"/>
              </w:rPr>
              <w:t>Сделки купли-продажи драгоценных металлов осуществляются с поставкой драгоценных металлов в физической форме или с отражен</w:t>
            </w:r>
            <w:r>
              <w:rPr>
                <w:sz w:val="26"/>
                <w:szCs w:val="26"/>
              </w:rPr>
              <w:t xml:space="preserve">ием по счетам. В соответствии с пунктами </w:t>
            </w:r>
            <w:r w:rsidRPr="003B10D6">
              <w:rPr>
                <w:sz w:val="26"/>
                <w:szCs w:val="26"/>
              </w:rPr>
              <w:t xml:space="preserve">2.7 и 9.3 Положения </w:t>
            </w:r>
            <w:r w:rsidRPr="003B10D6">
              <w:rPr>
                <w:sz w:val="26"/>
                <w:szCs w:val="26"/>
              </w:rPr>
              <w:lastRenderedPageBreak/>
              <w:t>Банка России от</w:t>
            </w:r>
            <w:r>
              <w:rPr>
                <w:sz w:val="26"/>
                <w:szCs w:val="26"/>
              </w:rPr>
              <w:t xml:space="preserve"> 1 ноября 1996 г. </w:t>
            </w:r>
            <w:r w:rsidRPr="003B10D6">
              <w:rPr>
                <w:sz w:val="26"/>
                <w:szCs w:val="26"/>
              </w:rPr>
              <w:t>№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для учета операций с драгоценными металлами в обезличенной форме банк открывает обезличенные металлические счета – счета для учета драгоценных металлов без указания индивидуальных признаков и осуществления операций по их привлечению и размещению. Драгоценные металлы, которые учитываются на обезличенных металлических счетах, имеют количественную характеристику массы металла (для монет – количество в штуках) и стоимостную балансовую оценку.</w:t>
            </w:r>
          </w:p>
          <w:p w:rsidR="00451F48" w:rsidRPr="003B10D6" w:rsidRDefault="00451F48" w:rsidP="00516E41">
            <w:pPr>
              <w:jc w:val="both"/>
              <w:rPr>
                <w:sz w:val="26"/>
                <w:szCs w:val="26"/>
              </w:rPr>
            </w:pPr>
            <w:r w:rsidRPr="003B10D6">
              <w:rPr>
                <w:sz w:val="26"/>
                <w:szCs w:val="26"/>
              </w:rPr>
              <w:t>Стандарт об автоматическом обмене информацией о финансовых счетах (</w:t>
            </w:r>
            <w:r w:rsidRPr="00516E41">
              <w:rPr>
                <w:rStyle w:val="af7"/>
                <w:b w:val="0"/>
                <w:sz w:val="26"/>
                <w:szCs w:val="26"/>
              </w:rPr>
              <w:t>Standard</w:t>
            </w:r>
            <w:r w:rsidRPr="00516E41">
              <w:rPr>
                <w:rStyle w:val="st1"/>
                <w:b/>
                <w:sz w:val="26"/>
                <w:szCs w:val="26"/>
              </w:rPr>
              <w:t xml:space="preserve"> </w:t>
            </w:r>
            <w:r w:rsidRPr="00516E41">
              <w:rPr>
                <w:rStyle w:val="st1"/>
                <w:sz w:val="26"/>
                <w:szCs w:val="26"/>
              </w:rPr>
              <w:t>for</w:t>
            </w:r>
            <w:r w:rsidRPr="00516E41">
              <w:rPr>
                <w:rStyle w:val="st1"/>
                <w:b/>
                <w:sz w:val="26"/>
                <w:szCs w:val="26"/>
              </w:rPr>
              <w:t xml:space="preserve"> </w:t>
            </w:r>
            <w:r w:rsidRPr="00516E41">
              <w:rPr>
                <w:rStyle w:val="af7"/>
                <w:b w:val="0"/>
                <w:sz w:val="26"/>
                <w:szCs w:val="26"/>
              </w:rPr>
              <w:t>Automatic</w:t>
            </w:r>
            <w:r w:rsidRPr="003B10D6">
              <w:rPr>
                <w:rStyle w:val="st1"/>
                <w:sz w:val="26"/>
                <w:szCs w:val="26"/>
              </w:rPr>
              <w:t xml:space="preserve"> Exchange of Financial Account Information) </w:t>
            </w:r>
            <w:r w:rsidRPr="003B10D6">
              <w:rPr>
                <w:sz w:val="26"/>
                <w:szCs w:val="26"/>
              </w:rPr>
              <w:t>содержит требование об анализе владельцев и выгодоприобретателей финансовых счетов, вместе с тем обезличенный металлический счет входит в категорию финансовых счетов (группу «</w:t>
            </w:r>
            <w:r w:rsidRPr="003B10D6">
              <w:rPr>
                <w:sz w:val="26"/>
                <w:szCs w:val="26"/>
                <w:lang w:val="en-US"/>
              </w:rPr>
              <w:t>depository</w:t>
            </w:r>
            <w:r w:rsidRPr="003B10D6">
              <w:rPr>
                <w:sz w:val="26"/>
                <w:szCs w:val="26"/>
              </w:rPr>
              <w:t xml:space="preserve"> </w:t>
            </w:r>
            <w:r w:rsidRPr="003B10D6">
              <w:rPr>
                <w:sz w:val="26"/>
                <w:szCs w:val="26"/>
                <w:lang w:val="en-US"/>
              </w:rPr>
              <w:t>accounts</w:t>
            </w:r>
            <w:r w:rsidRPr="003B10D6">
              <w:rPr>
                <w:sz w:val="26"/>
                <w:szCs w:val="26"/>
              </w:rPr>
              <w:t>»).</w:t>
            </w:r>
          </w:p>
          <w:p w:rsidR="00451F48" w:rsidRDefault="00451F48" w:rsidP="00516E41">
            <w:pPr>
              <w:jc w:val="both"/>
              <w:rPr>
                <w:sz w:val="26"/>
                <w:szCs w:val="26"/>
              </w:rPr>
            </w:pPr>
            <w:r w:rsidRPr="003B10D6">
              <w:rPr>
                <w:sz w:val="26"/>
                <w:szCs w:val="26"/>
              </w:rPr>
              <w:t>В этой связи норма</w:t>
            </w:r>
            <w:r>
              <w:rPr>
                <w:sz w:val="26"/>
                <w:szCs w:val="26"/>
              </w:rPr>
              <w:t xml:space="preserve"> подпункта 8 проектируемой статьи 142.1 НК РФ </w:t>
            </w:r>
            <w:r w:rsidRPr="003B10D6">
              <w:rPr>
                <w:sz w:val="26"/>
                <w:szCs w:val="26"/>
              </w:rPr>
              <w:t xml:space="preserve">может вступать в противоречие с требованием Стандарта об автоматическом обмене информацией о финансовых счетах в отношении драгоценных металлов в обезличенной форме. Считаем, что в </w:t>
            </w:r>
            <w:r>
              <w:rPr>
                <w:sz w:val="26"/>
                <w:szCs w:val="26"/>
              </w:rPr>
              <w:t>проекте акта</w:t>
            </w:r>
            <w:r w:rsidRPr="003B10D6">
              <w:rPr>
                <w:sz w:val="26"/>
                <w:szCs w:val="26"/>
              </w:rPr>
              <w:t xml:space="preserve"> следует уточнить указанную норму.</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18</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Default="00451F48" w:rsidP="0087353A">
            <w:pPr>
              <w:jc w:val="both"/>
              <w:rPr>
                <w:sz w:val="26"/>
                <w:szCs w:val="26"/>
              </w:rPr>
            </w:pPr>
            <w:r w:rsidRPr="00FC3673">
              <w:rPr>
                <w:sz w:val="26"/>
                <w:szCs w:val="26"/>
              </w:rPr>
              <w:t>В</w:t>
            </w:r>
            <w:r>
              <w:rPr>
                <w:sz w:val="26"/>
                <w:szCs w:val="26"/>
              </w:rPr>
              <w:t xml:space="preserve"> пункте 1 проектируемой статьи 105.16-3 НК РФ </w:t>
            </w:r>
            <w:r w:rsidRPr="00FC3673">
              <w:rPr>
                <w:sz w:val="26"/>
                <w:szCs w:val="26"/>
              </w:rPr>
              <w:t>указано, что налогоплательщики, являющиеся участниками международной группы компаний, в случаях, порядке и сроки, установленные НК РФ, представляют в ФНС России страновые сведения по этой</w:t>
            </w:r>
            <w:r>
              <w:rPr>
                <w:sz w:val="26"/>
                <w:szCs w:val="26"/>
              </w:rPr>
              <w:t xml:space="preserve"> международной группе компаний. </w:t>
            </w:r>
            <w:r w:rsidRPr="00FC3673">
              <w:rPr>
                <w:sz w:val="26"/>
                <w:szCs w:val="26"/>
              </w:rPr>
              <w:t>Однако термин «налогоплательщик» применим также к иностранной организации по налоговым обязательствам от источников в Российской Федерации. При глобальном прочтении нормы в текущей редакции можно предположить, что необходимость представления всего состава страновых сведений в соответствии с НК РФ возникает у любого участника группы вне зависимости от его статуса как материнской компании или уполномоченного участника. В этой связи считаем необходимым конкретизировать, что речь идет о налогоплательщике – резиденте Российской Федерации.</w:t>
            </w:r>
          </w:p>
        </w:tc>
      </w:tr>
      <w:tr w:rsidR="00451F48" w:rsidRPr="00D705F7" w:rsidTr="00451F48">
        <w:trPr>
          <w:trHeight w:val="391"/>
          <w:jc w:val="center"/>
        </w:trPr>
        <w:tc>
          <w:tcPr>
            <w:tcW w:w="708" w:type="dxa"/>
          </w:tcPr>
          <w:p w:rsidR="00451F48" w:rsidRDefault="00451F48" w:rsidP="005478D7">
            <w:pPr>
              <w:suppressAutoHyphens/>
              <w:jc w:val="center"/>
              <w:rPr>
                <w:b/>
              </w:rPr>
            </w:pPr>
            <w:r>
              <w:rPr>
                <w:b/>
              </w:rPr>
              <w:t>19</w:t>
            </w:r>
          </w:p>
        </w:tc>
        <w:tc>
          <w:tcPr>
            <w:tcW w:w="1852" w:type="dxa"/>
            <w:vAlign w:val="center"/>
          </w:tcPr>
          <w:p w:rsidR="00451F48" w:rsidRDefault="00451F48" w:rsidP="000131B8">
            <w:pPr>
              <w:suppressAutoHyphens/>
              <w:jc w:val="center"/>
            </w:pPr>
            <w:r>
              <w:t>Проектируемая статья 142.1 НК РФ</w:t>
            </w:r>
          </w:p>
        </w:tc>
        <w:tc>
          <w:tcPr>
            <w:tcW w:w="11547" w:type="dxa"/>
            <w:vAlign w:val="center"/>
          </w:tcPr>
          <w:p w:rsidR="00451F48" w:rsidRPr="001D4A3D" w:rsidRDefault="00451F48" w:rsidP="00D705F7">
            <w:pPr>
              <w:jc w:val="both"/>
              <w:rPr>
                <w:sz w:val="26"/>
                <w:szCs w:val="26"/>
              </w:rPr>
            </w:pPr>
            <w:r w:rsidRPr="001D4A3D">
              <w:rPr>
                <w:sz w:val="26"/>
                <w:szCs w:val="26"/>
              </w:rPr>
              <w:t>В соответствии с</w:t>
            </w:r>
            <w:r>
              <w:rPr>
                <w:sz w:val="26"/>
                <w:szCs w:val="26"/>
              </w:rPr>
              <w:t xml:space="preserve"> пунктом 1 проектируемой статьи 142.2 НК РФ </w:t>
            </w:r>
            <w:r w:rsidRPr="001D4A3D">
              <w:rPr>
                <w:sz w:val="26"/>
                <w:szCs w:val="26"/>
              </w:rPr>
              <w:t xml:space="preserve">организация финансового рынка обязана представлять в ФНС России информацию, в том числе о выгодоприобретателях. </w:t>
            </w:r>
          </w:p>
          <w:p w:rsidR="00451F48" w:rsidRPr="001D4A3D" w:rsidRDefault="00451F48" w:rsidP="00D705F7">
            <w:pPr>
              <w:jc w:val="both"/>
              <w:rPr>
                <w:sz w:val="26"/>
                <w:szCs w:val="26"/>
              </w:rPr>
            </w:pPr>
            <w:r w:rsidRPr="001D4A3D">
              <w:rPr>
                <w:sz w:val="26"/>
                <w:szCs w:val="26"/>
              </w:rPr>
              <w:t>При толковании понятия «выгодоприобретатель» необходимо учитывать следующее.</w:t>
            </w:r>
          </w:p>
          <w:p w:rsidR="00451F48" w:rsidRPr="001D4A3D" w:rsidRDefault="00451F48" w:rsidP="00D705F7">
            <w:pPr>
              <w:jc w:val="both"/>
              <w:rPr>
                <w:sz w:val="26"/>
                <w:szCs w:val="26"/>
              </w:rPr>
            </w:pPr>
            <w:r>
              <w:rPr>
                <w:sz w:val="26"/>
                <w:szCs w:val="26"/>
              </w:rPr>
              <w:t xml:space="preserve">1. </w:t>
            </w:r>
            <w:r w:rsidRPr="001D4A3D">
              <w:rPr>
                <w:sz w:val="26"/>
                <w:szCs w:val="26"/>
              </w:rPr>
              <w:t xml:space="preserve">В налоговых целях при осуществлении автоматического обмена финансовой информацией с </w:t>
            </w:r>
            <w:r w:rsidRPr="001D4A3D">
              <w:rPr>
                <w:sz w:val="26"/>
                <w:szCs w:val="26"/>
              </w:rPr>
              <w:lastRenderedPageBreak/>
              <w:t>иностранными государствами (территориями), согласно</w:t>
            </w:r>
            <w:r>
              <w:rPr>
                <w:sz w:val="26"/>
                <w:szCs w:val="26"/>
              </w:rPr>
              <w:t xml:space="preserve"> подпункту 6 проектируемой статьи 142.1 НК РФ </w:t>
            </w:r>
            <w:r w:rsidRPr="001D4A3D">
              <w:rPr>
                <w:sz w:val="26"/>
                <w:szCs w:val="26"/>
              </w:rPr>
              <w:t xml:space="preserve">под выгодоприобретателем понимается «лицо (структура без образования юридического лица), к выгоде которого действует клиент, в том числе на основании агентского договора, договоров поручения, комиссии и доверительного управления». </w:t>
            </w:r>
          </w:p>
          <w:p w:rsidR="00451F48" w:rsidRPr="001D4A3D" w:rsidRDefault="00451F48" w:rsidP="00D705F7">
            <w:pPr>
              <w:jc w:val="both"/>
              <w:rPr>
                <w:sz w:val="26"/>
                <w:szCs w:val="26"/>
              </w:rPr>
            </w:pPr>
            <w:r w:rsidRPr="001D4A3D">
              <w:rPr>
                <w:sz w:val="26"/>
                <w:szCs w:val="26"/>
              </w:rPr>
              <w:t xml:space="preserve">Однако в целях ПОД/ФТ, </w:t>
            </w:r>
            <w:r>
              <w:rPr>
                <w:sz w:val="26"/>
                <w:szCs w:val="26"/>
              </w:rPr>
              <w:t xml:space="preserve">согласно пункту 1.1 Положения Банка России от 15 октября 2015 г. </w:t>
            </w:r>
            <w:r w:rsidRPr="001D4A3D">
              <w:rPr>
                <w:sz w:val="26"/>
                <w:szCs w:val="26"/>
              </w:rPr>
              <w:t>№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r>
              <w:rPr>
                <w:sz w:val="26"/>
                <w:szCs w:val="26"/>
              </w:rPr>
              <w:t xml:space="preserve"> (далее – Положение № 499-П)</w:t>
            </w:r>
            <w:r w:rsidRPr="001D4A3D">
              <w:rPr>
                <w:sz w:val="26"/>
                <w:szCs w:val="26"/>
              </w:rPr>
              <w:t>, применяется иное толкование понятие «выгодоприобретатель» – это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51F48" w:rsidRPr="001D4A3D" w:rsidRDefault="00451F48" w:rsidP="00D705F7">
            <w:pPr>
              <w:jc w:val="both"/>
              <w:rPr>
                <w:sz w:val="26"/>
                <w:szCs w:val="26"/>
              </w:rPr>
            </w:pPr>
            <w:r w:rsidRPr="001D4A3D">
              <w:rPr>
                <w:sz w:val="26"/>
                <w:szCs w:val="26"/>
              </w:rPr>
              <w:t xml:space="preserve">2. Организации финансового рынка не ведут учет средств выгодоприобретателей на счетах в рамках агентского договора, договоров поручения, комиссии и доверительного управления в разрезе выгодоприобретателей (осуществляется учет только операций), в том числе в разрезе счета количество выгодоприобретателей может быть неопределенно большим. </w:t>
            </w:r>
          </w:p>
          <w:p w:rsidR="00451F48" w:rsidRPr="001D4A3D" w:rsidRDefault="00451F48" w:rsidP="00D705F7">
            <w:pPr>
              <w:jc w:val="both"/>
              <w:rPr>
                <w:sz w:val="26"/>
                <w:szCs w:val="26"/>
              </w:rPr>
            </w:pPr>
            <w:r w:rsidRPr="001D4A3D">
              <w:rPr>
                <w:sz w:val="26"/>
                <w:szCs w:val="26"/>
              </w:rPr>
              <w:t xml:space="preserve">В этой связи с целью исключения возможных сложностей при идентификации выгодоприобретателей, связанных с двояким толкованием понятия «выгодоприобретатель» </w:t>
            </w:r>
            <w:r w:rsidRPr="001D4A3D">
              <w:rPr>
                <w:rFonts w:eastAsia="ArialMT"/>
                <w:sz w:val="26"/>
                <w:szCs w:val="26"/>
              </w:rPr>
              <w:t xml:space="preserve">(в контексте </w:t>
            </w:r>
            <w:r>
              <w:rPr>
                <w:rFonts w:eastAsia="ArialMT"/>
                <w:sz w:val="26"/>
                <w:szCs w:val="26"/>
              </w:rPr>
              <w:t xml:space="preserve">проекта акта и Положения </w:t>
            </w:r>
            <w:r w:rsidRPr="001D4A3D">
              <w:rPr>
                <w:rFonts w:eastAsia="ArialMT"/>
                <w:sz w:val="26"/>
                <w:szCs w:val="26"/>
              </w:rPr>
              <w:t xml:space="preserve">№ 499-П), а также при подготовке отчета по </w:t>
            </w:r>
            <w:r w:rsidRPr="001D4A3D">
              <w:rPr>
                <w:sz w:val="26"/>
                <w:szCs w:val="26"/>
              </w:rPr>
              <w:t>выгодоприобретателям (поскольку организации финансового рынка не ведут учет средств выгодоприобретателей на счетах в рамках агентского договора, договоров поручения, комиссии и доверительного управления в разрезе выгодоприобретателей) считаем необходимым понят</w:t>
            </w:r>
            <w:r>
              <w:rPr>
                <w:sz w:val="26"/>
                <w:szCs w:val="26"/>
              </w:rPr>
              <w:t xml:space="preserve">ие «выгодоприобретатель» в подпункте </w:t>
            </w:r>
            <w:r w:rsidRPr="001D4A3D">
              <w:rPr>
                <w:sz w:val="26"/>
                <w:szCs w:val="26"/>
              </w:rPr>
              <w:t xml:space="preserve">6 </w:t>
            </w:r>
            <w:r>
              <w:rPr>
                <w:sz w:val="26"/>
                <w:szCs w:val="26"/>
              </w:rPr>
              <w:t xml:space="preserve">проектируемой статьи 142.1 НК РФ </w:t>
            </w:r>
            <w:r w:rsidRPr="001D4A3D">
              <w:rPr>
                <w:sz w:val="26"/>
                <w:szCs w:val="26"/>
              </w:rPr>
              <w:t>изложить в следующей редакции:</w:t>
            </w:r>
          </w:p>
          <w:p w:rsidR="00451F48" w:rsidRPr="001D4A3D" w:rsidRDefault="00451F48" w:rsidP="00D705F7">
            <w:pPr>
              <w:jc w:val="both"/>
              <w:rPr>
                <w:sz w:val="26"/>
                <w:szCs w:val="26"/>
              </w:rPr>
            </w:pPr>
            <w:r w:rsidRPr="001D4A3D">
              <w:rPr>
                <w:sz w:val="26"/>
                <w:szCs w:val="26"/>
              </w:rPr>
              <w:t xml:space="preserve">«6) выгодоприобретатель – лицо (структура без образования юридического лица), </w:t>
            </w:r>
            <w:r w:rsidRPr="001105C7">
              <w:rPr>
                <w:sz w:val="26"/>
                <w:szCs w:val="26"/>
              </w:rPr>
              <w:t>которое является бенефициаром открываемого счета и</w:t>
            </w:r>
            <w:r w:rsidRPr="001D4A3D">
              <w:rPr>
                <w:b/>
                <w:sz w:val="26"/>
                <w:szCs w:val="26"/>
              </w:rPr>
              <w:t xml:space="preserve"> </w:t>
            </w:r>
            <w:r w:rsidRPr="001D4A3D">
              <w:rPr>
                <w:sz w:val="26"/>
                <w:szCs w:val="26"/>
              </w:rPr>
              <w:t xml:space="preserve">к выгоде которого действует клиент, в том числе на основании агентского договора, договоров поручения, комиссии и доверительного управления;».  </w:t>
            </w:r>
          </w:p>
          <w:p w:rsidR="00451F48" w:rsidRPr="001D4A3D" w:rsidRDefault="00451F48" w:rsidP="00D705F7">
            <w:pPr>
              <w:jc w:val="both"/>
              <w:rPr>
                <w:sz w:val="26"/>
                <w:szCs w:val="26"/>
              </w:rPr>
            </w:pPr>
            <w:r w:rsidRPr="001D4A3D">
              <w:rPr>
                <w:sz w:val="26"/>
                <w:szCs w:val="26"/>
              </w:rPr>
              <w:t>В качестве дополнительного обоснования предлагаемой нами трактовки понятия «выгодоприобретатель» приводим выдержку из Стандарта об автоматическом обмене информацией о финансовых счетах о владельце счета (</w:t>
            </w:r>
            <w:r w:rsidRPr="00D705F7">
              <w:rPr>
                <w:rStyle w:val="af7"/>
                <w:b w:val="0"/>
                <w:sz w:val="26"/>
                <w:szCs w:val="26"/>
              </w:rPr>
              <w:t>Standard</w:t>
            </w:r>
            <w:r w:rsidRPr="001D4A3D">
              <w:rPr>
                <w:rStyle w:val="st1"/>
                <w:sz w:val="26"/>
                <w:szCs w:val="26"/>
              </w:rPr>
              <w:t xml:space="preserve"> for </w:t>
            </w:r>
            <w:r w:rsidRPr="00D705F7">
              <w:rPr>
                <w:rStyle w:val="af7"/>
                <w:b w:val="0"/>
                <w:sz w:val="26"/>
                <w:szCs w:val="26"/>
              </w:rPr>
              <w:t>Automatic</w:t>
            </w:r>
            <w:r w:rsidRPr="00D705F7">
              <w:rPr>
                <w:rStyle w:val="st1"/>
                <w:b/>
                <w:sz w:val="26"/>
                <w:szCs w:val="26"/>
              </w:rPr>
              <w:t xml:space="preserve"> </w:t>
            </w:r>
            <w:r w:rsidRPr="001D4A3D">
              <w:rPr>
                <w:rStyle w:val="st1"/>
                <w:sz w:val="26"/>
                <w:szCs w:val="26"/>
              </w:rPr>
              <w:t xml:space="preserve">Exchange of Financial Account </w:t>
            </w:r>
            <w:r w:rsidRPr="001D4A3D">
              <w:rPr>
                <w:rStyle w:val="st1"/>
                <w:sz w:val="26"/>
                <w:szCs w:val="26"/>
              </w:rPr>
              <w:lastRenderedPageBreak/>
              <w:t>Information)</w:t>
            </w:r>
            <w:r w:rsidRPr="001D4A3D">
              <w:rPr>
                <w:sz w:val="26"/>
                <w:szCs w:val="26"/>
              </w:rPr>
              <w:t>:</w:t>
            </w:r>
          </w:p>
          <w:p w:rsidR="00451F48" w:rsidRPr="00D705F7" w:rsidRDefault="00451F48" w:rsidP="00D705F7">
            <w:pPr>
              <w:jc w:val="both"/>
              <w:rPr>
                <w:sz w:val="26"/>
                <w:szCs w:val="26"/>
                <w:lang w:val="en-US"/>
              </w:rPr>
            </w:pPr>
            <w:r w:rsidRPr="001D4A3D">
              <w:rPr>
                <w:sz w:val="26"/>
                <w:szCs w:val="26"/>
                <w:lang w:val="en-US"/>
              </w:rPr>
              <w:t>«The term «Account Holder» 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purposes of the Common Reporting Standard, and such other person is</w:t>
            </w:r>
            <w:r>
              <w:rPr>
                <w:sz w:val="26"/>
                <w:szCs w:val="26"/>
                <w:lang w:val="en-US"/>
              </w:rPr>
              <w:t xml:space="preserve"> treated as holding the account</w:t>
            </w:r>
            <w:r w:rsidRPr="001D4A3D">
              <w:rPr>
                <w:sz w:val="26"/>
                <w:szCs w:val="26"/>
                <w:lang w:val="en-US"/>
              </w:rPr>
              <w:t xml:space="preserve">». </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20</w:t>
            </w:r>
          </w:p>
        </w:tc>
        <w:tc>
          <w:tcPr>
            <w:tcW w:w="1852" w:type="dxa"/>
            <w:vAlign w:val="center"/>
          </w:tcPr>
          <w:p w:rsidR="00451F48" w:rsidRDefault="00451F48" w:rsidP="000131B8">
            <w:pPr>
              <w:suppressAutoHyphens/>
              <w:jc w:val="center"/>
            </w:pPr>
            <w:r>
              <w:t>Проектируемая статья 105.16-2 НК РФ</w:t>
            </w:r>
          </w:p>
        </w:tc>
        <w:tc>
          <w:tcPr>
            <w:tcW w:w="11547" w:type="dxa"/>
            <w:vAlign w:val="center"/>
          </w:tcPr>
          <w:p w:rsidR="00451F48" w:rsidRPr="00504705" w:rsidRDefault="00451F48" w:rsidP="009C4460">
            <w:pPr>
              <w:jc w:val="both"/>
              <w:rPr>
                <w:sz w:val="26"/>
                <w:szCs w:val="26"/>
              </w:rPr>
            </w:pPr>
            <w:r w:rsidRPr="00504705">
              <w:rPr>
                <w:sz w:val="26"/>
                <w:szCs w:val="26"/>
              </w:rPr>
              <w:t>Согласно</w:t>
            </w:r>
            <w:r>
              <w:rPr>
                <w:sz w:val="26"/>
                <w:szCs w:val="26"/>
              </w:rPr>
              <w:t xml:space="preserve"> положениям подпункта 5 пункта 6 проектируемой статьи 105.16-2 НК РФ </w:t>
            </w:r>
            <w:r w:rsidRPr="00504705">
              <w:rPr>
                <w:sz w:val="26"/>
                <w:szCs w:val="26"/>
              </w:rPr>
              <w:t>уведомление об участии в международной группе компаний должно содержать основания, подтверждающие право уполномоченного участника международной группы компаний на подготовку и представление уведомления об участии в международной группе компаний в отношении всех участников этой группы, признаваемых налоговыми резидентами Российской Федерации, глобальной документации и странового отчета по такой группе.</w:t>
            </w:r>
          </w:p>
          <w:p w:rsidR="00451F48" w:rsidRDefault="00451F48" w:rsidP="009C4460">
            <w:pPr>
              <w:jc w:val="both"/>
              <w:rPr>
                <w:sz w:val="26"/>
                <w:szCs w:val="26"/>
              </w:rPr>
            </w:pPr>
            <w:r w:rsidRPr="00504705">
              <w:rPr>
                <w:sz w:val="26"/>
                <w:szCs w:val="26"/>
              </w:rPr>
              <w:t xml:space="preserve">Таким образом, из </w:t>
            </w:r>
            <w:r>
              <w:rPr>
                <w:sz w:val="26"/>
                <w:szCs w:val="26"/>
              </w:rPr>
              <w:t xml:space="preserve">проекта акта </w:t>
            </w:r>
            <w:r w:rsidRPr="00504705">
              <w:rPr>
                <w:sz w:val="26"/>
                <w:szCs w:val="26"/>
              </w:rPr>
              <w:t>следует, что единственным основанием для подготовки и представления соответствующих сведений уполномоченным участником является уполномочие (решение) от материнской компании, что является добровольным внутренним решением международной группы компаний и не ставится в зависимость от отдельных обстоятельств. Считаем целесообразным исключить</w:t>
            </w:r>
            <w:r>
              <w:rPr>
                <w:sz w:val="26"/>
                <w:szCs w:val="26"/>
              </w:rPr>
              <w:t xml:space="preserve"> подпункт 5 пункта 6 проектируемой статьи 105.16-2 НК РФ из проекта акта.</w:t>
            </w:r>
            <w:r w:rsidRPr="00504705">
              <w:rPr>
                <w:sz w:val="26"/>
                <w:szCs w:val="26"/>
              </w:rPr>
              <w:t xml:space="preserve"> </w:t>
            </w:r>
          </w:p>
          <w:p w:rsidR="00451F48" w:rsidRDefault="00451F48" w:rsidP="00D67EC3">
            <w:pPr>
              <w:jc w:val="both"/>
              <w:rPr>
                <w:sz w:val="26"/>
                <w:szCs w:val="26"/>
              </w:rPr>
            </w:pPr>
          </w:p>
        </w:tc>
      </w:tr>
      <w:tr w:rsidR="00451F48" w:rsidRPr="0059303C" w:rsidTr="00451F48">
        <w:trPr>
          <w:trHeight w:val="391"/>
          <w:jc w:val="center"/>
        </w:trPr>
        <w:tc>
          <w:tcPr>
            <w:tcW w:w="708" w:type="dxa"/>
          </w:tcPr>
          <w:p w:rsidR="00451F48" w:rsidRDefault="00451F48" w:rsidP="005478D7">
            <w:pPr>
              <w:suppressAutoHyphens/>
              <w:jc w:val="center"/>
              <w:rPr>
                <w:b/>
              </w:rPr>
            </w:pPr>
            <w:r>
              <w:rPr>
                <w:b/>
              </w:rPr>
              <w:t>21</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Pr="004B1717" w:rsidRDefault="00451F48" w:rsidP="00412F0E">
            <w:pPr>
              <w:jc w:val="both"/>
              <w:rPr>
                <w:sz w:val="26"/>
                <w:szCs w:val="26"/>
              </w:rPr>
            </w:pPr>
            <w:r w:rsidRPr="004B1717">
              <w:rPr>
                <w:sz w:val="26"/>
                <w:szCs w:val="26"/>
              </w:rPr>
              <w:t>Согласно</w:t>
            </w:r>
            <w:r>
              <w:rPr>
                <w:sz w:val="26"/>
                <w:szCs w:val="26"/>
              </w:rPr>
              <w:t xml:space="preserve"> пункту 7 проектируемой статьи 105.16-3 НК РФ </w:t>
            </w:r>
            <w:r w:rsidRPr="004B1717">
              <w:rPr>
                <w:sz w:val="26"/>
                <w:szCs w:val="26"/>
              </w:rPr>
              <w:t>ФНС России направляет налогоплательщику, являющемуся участником международной группы компаний, указанному в</w:t>
            </w:r>
            <w:r>
              <w:rPr>
                <w:sz w:val="26"/>
                <w:szCs w:val="26"/>
              </w:rPr>
              <w:t xml:space="preserve"> подпункте 2 пункта 6 </w:t>
            </w:r>
            <w:r w:rsidRPr="004B1717">
              <w:rPr>
                <w:sz w:val="26"/>
                <w:szCs w:val="26"/>
              </w:rPr>
              <w:t>данной статьи, требование о предоставлении странового отчета в срок, установленный ФНС России, который не может составлять менее трех месяцев с даты получения налогоплательщиком указанного требования, в случаях</w:t>
            </w:r>
            <w:r>
              <w:rPr>
                <w:sz w:val="26"/>
                <w:szCs w:val="26"/>
              </w:rPr>
              <w:t>, указанных в пункте</w:t>
            </w:r>
            <w:r w:rsidRPr="004B1717">
              <w:rPr>
                <w:sz w:val="26"/>
                <w:szCs w:val="26"/>
              </w:rPr>
              <w:t xml:space="preserve"> 7 данной статьи. На практике это может оказаться невыполнимым в связи с отсутствием у налогоплательщика доступа к необходимой информации. В этой связи считаем целесообразным: </w:t>
            </w:r>
          </w:p>
          <w:p w:rsidR="00451F48" w:rsidRPr="004B1717" w:rsidRDefault="00451F48" w:rsidP="00412F0E">
            <w:pPr>
              <w:pStyle w:val="ae"/>
              <w:numPr>
                <w:ilvl w:val="0"/>
                <w:numId w:val="21"/>
              </w:numPr>
              <w:ind w:left="0" w:firstLine="0"/>
              <w:jc w:val="both"/>
              <w:rPr>
                <w:sz w:val="26"/>
                <w:szCs w:val="26"/>
              </w:rPr>
            </w:pPr>
            <w:r w:rsidRPr="004B1717">
              <w:rPr>
                <w:sz w:val="26"/>
                <w:szCs w:val="26"/>
              </w:rPr>
              <w:t xml:space="preserve">в требовании указывать основания, в соответствии с которыми оно направлено; </w:t>
            </w:r>
          </w:p>
          <w:p w:rsidR="00451F48" w:rsidRDefault="00451F48" w:rsidP="00412F0E">
            <w:pPr>
              <w:jc w:val="both"/>
              <w:rPr>
                <w:sz w:val="26"/>
                <w:szCs w:val="26"/>
              </w:rPr>
            </w:pPr>
            <w:r w:rsidRPr="001D4A3D">
              <w:rPr>
                <w:sz w:val="26"/>
                <w:szCs w:val="26"/>
              </w:rPr>
              <w:t>–</w:t>
            </w:r>
            <w:r>
              <w:rPr>
                <w:sz w:val="26"/>
                <w:szCs w:val="26"/>
              </w:rPr>
              <w:t xml:space="preserve"> </w:t>
            </w:r>
            <w:r w:rsidRPr="004B1717">
              <w:rPr>
                <w:sz w:val="26"/>
                <w:szCs w:val="26"/>
              </w:rPr>
              <w:t>в случае представления отчета освобождать других участников группы от представления информации.</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22</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Pr="00F67973" w:rsidRDefault="00451F48" w:rsidP="0021427E">
            <w:pPr>
              <w:jc w:val="both"/>
              <w:rPr>
                <w:iCs/>
                <w:sz w:val="26"/>
                <w:szCs w:val="26"/>
              </w:rPr>
            </w:pPr>
            <w:r w:rsidRPr="00F67973">
              <w:rPr>
                <w:iCs/>
                <w:sz w:val="26"/>
                <w:szCs w:val="26"/>
              </w:rPr>
              <w:t>Предлагаем ограничить срок направления требования о представлении глобальной документации со стороны федерального органа исполнительной власти</w:t>
            </w:r>
            <w:r>
              <w:rPr>
                <w:iCs/>
                <w:sz w:val="26"/>
                <w:szCs w:val="26"/>
              </w:rPr>
              <w:t xml:space="preserve"> в связи с чем а</w:t>
            </w:r>
            <w:r w:rsidRPr="00F67973">
              <w:rPr>
                <w:iCs/>
                <w:sz w:val="26"/>
                <w:szCs w:val="26"/>
              </w:rPr>
              <w:t>бзац 2 пункта 3 статьи 105</w:t>
            </w:r>
            <w:r>
              <w:rPr>
                <w:iCs/>
                <w:sz w:val="26"/>
                <w:szCs w:val="26"/>
              </w:rPr>
              <w:t>.</w:t>
            </w:r>
            <w:r w:rsidRPr="00F67973">
              <w:rPr>
                <w:iCs/>
                <w:sz w:val="26"/>
                <w:szCs w:val="26"/>
              </w:rPr>
              <w:t>16-3 после слов «но не ранее пятнадца</w:t>
            </w:r>
            <w:r>
              <w:rPr>
                <w:iCs/>
                <w:sz w:val="26"/>
                <w:szCs w:val="26"/>
              </w:rPr>
              <w:t>ти месяцев» дополнить словами «</w:t>
            </w:r>
            <w:r w:rsidRPr="00F67973">
              <w:rPr>
                <w:iCs/>
                <w:sz w:val="26"/>
                <w:szCs w:val="26"/>
              </w:rPr>
              <w:t>и не позднее тридцати шести месяцев»:</w:t>
            </w:r>
          </w:p>
          <w:p w:rsidR="00451F48" w:rsidRPr="00F67973" w:rsidRDefault="00451F48" w:rsidP="0021427E">
            <w:pPr>
              <w:jc w:val="both"/>
              <w:rPr>
                <w:iCs/>
                <w:sz w:val="26"/>
                <w:szCs w:val="26"/>
              </w:rPr>
            </w:pPr>
            <w:r>
              <w:rPr>
                <w:iCs/>
                <w:sz w:val="26"/>
                <w:szCs w:val="26"/>
              </w:rPr>
              <w:t>«</w:t>
            </w:r>
            <w:r w:rsidRPr="00F67973">
              <w:rPr>
                <w:iCs/>
                <w:sz w:val="26"/>
                <w:szCs w:val="26"/>
              </w:rPr>
              <w:t xml:space="preserve">3. </w:t>
            </w:r>
          </w:p>
          <w:p w:rsidR="00451F48" w:rsidRPr="00F67973" w:rsidRDefault="00451F48" w:rsidP="0021427E">
            <w:pPr>
              <w:jc w:val="both"/>
              <w:rPr>
                <w:iCs/>
                <w:sz w:val="26"/>
                <w:szCs w:val="26"/>
              </w:rPr>
            </w:pPr>
            <w:r w:rsidRPr="00F67973">
              <w:rPr>
                <w:iCs/>
                <w:sz w:val="26"/>
                <w:szCs w:val="26"/>
              </w:rPr>
              <w:t>…</w:t>
            </w:r>
          </w:p>
          <w:p w:rsidR="00451F48" w:rsidRDefault="00451F48" w:rsidP="0021427E">
            <w:pPr>
              <w:jc w:val="both"/>
              <w:rPr>
                <w:sz w:val="26"/>
                <w:szCs w:val="26"/>
              </w:rPr>
            </w:pPr>
            <w:r w:rsidRPr="00F67973">
              <w:rPr>
                <w:iCs/>
                <w:sz w:val="26"/>
                <w:szCs w:val="26"/>
              </w:rP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 момента получения такого требования, но не ранее пятнадцати месяцев </w:t>
            </w:r>
            <w:r w:rsidRPr="00F67973">
              <w:rPr>
                <w:b/>
                <w:iCs/>
                <w:sz w:val="26"/>
                <w:szCs w:val="26"/>
              </w:rPr>
              <w:t xml:space="preserve">и не позднее тридцати шести месяцев </w:t>
            </w:r>
            <w:r w:rsidRPr="00F67973">
              <w:rPr>
                <w:iCs/>
                <w:sz w:val="26"/>
                <w:szCs w:val="26"/>
              </w:rPr>
              <w:t xml:space="preserve">с даты окончания последнего закончившегося финансового года, указанного в требовании, либо не ранее пятнадцати месяцев </w:t>
            </w:r>
            <w:r w:rsidRPr="00F67973">
              <w:rPr>
                <w:b/>
                <w:iCs/>
                <w:sz w:val="26"/>
                <w:szCs w:val="26"/>
              </w:rPr>
              <w:t xml:space="preserve">и не позднее тридцати шести месяцев </w:t>
            </w:r>
            <w:r w:rsidRPr="00F67973">
              <w:rPr>
                <w:iCs/>
                <w:sz w:val="26"/>
                <w:szCs w:val="26"/>
              </w:rPr>
              <w:t>с даты, являющейся последним днем периода, за который составлялась бы консолидированная финансовая отчетность международной группы, указанного в требовании. В случае, если указанное требование направляется в связи с запросом компетентного органа иностранного государства в области налогового контроля,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r>
              <w:rPr>
                <w:i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23</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Pr="004941AA" w:rsidRDefault="00451F48" w:rsidP="00A546D6">
            <w:pPr>
              <w:jc w:val="both"/>
              <w:rPr>
                <w:iCs/>
                <w:sz w:val="26"/>
                <w:szCs w:val="26"/>
              </w:rPr>
            </w:pPr>
            <w:r>
              <w:rPr>
                <w:iCs/>
                <w:sz w:val="26"/>
                <w:szCs w:val="26"/>
              </w:rPr>
              <w:t>Перечень документов в абзацах 1 и 2 пункта 5 проектируемой статьи 105.16-3 НК РФ должны соответствовать друг другу. В связи с этим а</w:t>
            </w:r>
            <w:r w:rsidRPr="004941AA">
              <w:rPr>
                <w:iCs/>
                <w:sz w:val="26"/>
                <w:szCs w:val="26"/>
              </w:rPr>
              <w:t>бзац</w:t>
            </w:r>
            <w:r>
              <w:rPr>
                <w:iCs/>
                <w:sz w:val="26"/>
                <w:szCs w:val="26"/>
              </w:rPr>
              <w:t xml:space="preserve"> </w:t>
            </w:r>
            <w:r w:rsidRPr="004941AA">
              <w:rPr>
                <w:iCs/>
                <w:sz w:val="26"/>
                <w:szCs w:val="26"/>
              </w:rPr>
              <w:t xml:space="preserve">2 пункта 5 </w:t>
            </w:r>
            <w:r>
              <w:rPr>
                <w:iCs/>
                <w:sz w:val="26"/>
                <w:szCs w:val="26"/>
              </w:rPr>
              <w:t xml:space="preserve">проектируемой </w:t>
            </w:r>
            <w:r w:rsidRPr="004941AA">
              <w:rPr>
                <w:iCs/>
                <w:sz w:val="26"/>
                <w:szCs w:val="26"/>
              </w:rPr>
              <w:t>статьи 105</w:t>
            </w:r>
            <w:r>
              <w:rPr>
                <w:iCs/>
                <w:sz w:val="26"/>
                <w:szCs w:val="26"/>
              </w:rPr>
              <w:t>.</w:t>
            </w:r>
            <w:r w:rsidRPr="004941AA">
              <w:rPr>
                <w:iCs/>
                <w:sz w:val="26"/>
                <w:szCs w:val="26"/>
              </w:rPr>
              <w:t xml:space="preserve">16-3 после слов «страновой отчет» </w:t>
            </w:r>
            <w:r>
              <w:rPr>
                <w:iCs/>
                <w:sz w:val="26"/>
                <w:szCs w:val="26"/>
              </w:rPr>
              <w:t>необходимо дополнить словами «</w:t>
            </w:r>
            <w:r w:rsidRPr="004941AA">
              <w:rPr>
                <w:iCs/>
                <w:sz w:val="26"/>
                <w:szCs w:val="26"/>
              </w:rPr>
              <w:t xml:space="preserve">и глобальная документация» </w:t>
            </w:r>
            <w:r>
              <w:rPr>
                <w:iCs/>
                <w:sz w:val="26"/>
                <w:szCs w:val="26"/>
              </w:rPr>
              <w:t>и изложить в следующей редакции</w:t>
            </w:r>
            <w:r w:rsidRPr="004941AA">
              <w:rPr>
                <w:iCs/>
                <w:sz w:val="26"/>
                <w:szCs w:val="26"/>
              </w:rPr>
              <w:t>:</w:t>
            </w:r>
          </w:p>
          <w:p w:rsidR="00451F48" w:rsidRDefault="00451F48" w:rsidP="00A546D6">
            <w:pPr>
              <w:jc w:val="both"/>
              <w:rPr>
                <w:sz w:val="26"/>
                <w:szCs w:val="26"/>
              </w:rPr>
            </w:pPr>
            <w:r>
              <w:rPr>
                <w:iCs/>
                <w:sz w:val="26"/>
                <w:szCs w:val="26"/>
              </w:rPr>
              <w:t>«</w:t>
            </w:r>
            <w:r w:rsidRPr="004941AA">
              <w:rPr>
                <w:iCs/>
                <w:sz w:val="26"/>
                <w:szCs w:val="26"/>
              </w:rPr>
              <w:t xml:space="preserve">В случае, если страновой отчет </w:t>
            </w:r>
            <w:r w:rsidRPr="004941AA">
              <w:rPr>
                <w:b/>
                <w:iCs/>
                <w:sz w:val="26"/>
                <w:szCs w:val="26"/>
              </w:rPr>
              <w:t xml:space="preserve">и глобальная документация </w:t>
            </w:r>
            <w:r w:rsidRPr="004941AA">
              <w:rPr>
                <w:iCs/>
                <w:sz w:val="26"/>
                <w:szCs w:val="26"/>
              </w:rPr>
              <w:t>содержит сведения в отношении участников международных групп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статьей 142</w:t>
            </w:r>
            <w:r w:rsidRPr="004941AA">
              <w:rPr>
                <w:iCs/>
                <w:sz w:val="26"/>
                <w:szCs w:val="26"/>
                <w:vertAlign w:val="superscript"/>
              </w:rPr>
              <w:t>5</w:t>
            </w:r>
            <w:r w:rsidRPr="004941AA">
              <w:rPr>
                <w:iCs/>
                <w:sz w:val="26"/>
                <w:szCs w:val="26"/>
              </w:rPr>
              <w:t xml:space="preserve"> настоящего Кодекса только при условии представления в федеральный орган исполнительной власти, уполномоченный по контролю и надзору в области налогов и сборов, лицом, представляющим страновой отчет </w:t>
            </w:r>
            <w:r w:rsidRPr="004941AA">
              <w:rPr>
                <w:b/>
                <w:iCs/>
                <w:sz w:val="26"/>
                <w:szCs w:val="26"/>
              </w:rPr>
              <w:t>и глобальную документацию</w:t>
            </w:r>
            <w:r w:rsidRPr="004941AA">
              <w:rPr>
                <w:iCs/>
                <w:sz w:val="26"/>
                <w:szCs w:val="26"/>
              </w:rPr>
              <w:t xml:space="preserve">, в отношении такого участника соответствующего предварительного согласия федерального органа исполнительной власти на представление такой информации, если представление такого согласия </w:t>
            </w:r>
            <w:r w:rsidRPr="004941AA">
              <w:rPr>
                <w:iCs/>
                <w:sz w:val="26"/>
                <w:szCs w:val="26"/>
              </w:rPr>
              <w:lastRenderedPageBreak/>
              <w:t>предусмотрено нормативными правовыми актами Российской Федерации.</w:t>
            </w:r>
            <w:r>
              <w:rPr>
                <w:i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24</w:t>
            </w:r>
          </w:p>
        </w:tc>
        <w:tc>
          <w:tcPr>
            <w:tcW w:w="1852" w:type="dxa"/>
            <w:vAlign w:val="center"/>
          </w:tcPr>
          <w:p w:rsidR="00451F48" w:rsidRDefault="00451F48" w:rsidP="000131B8">
            <w:pPr>
              <w:suppressAutoHyphens/>
              <w:jc w:val="center"/>
            </w:pPr>
            <w:r>
              <w:t>Проектируемая статья 105.16-5 НК РФ</w:t>
            </w:r>
          </w:p>
        </w:tc>
        <w:tc>
          <w:tcPr>
            <w:tcW w:w="11547" w:type="dxa"/>
            <w:vAlign w:val="center"/>
          </w:tcPr>
          <w:p w:rsidR="00451F48" w:rsidRPr="001951E0" w:rsidRDefault="00451F48" w:rsidP="004517B4">
            <w:pPr>
              <w:jc w:val="both"/>
              <w:rPr>
                <w:iCs/>
                <w:sz w:val="26"/>
                <w:szCs w:val="26"/>
              </w:rPr>
            </w:pPr>
            <w:r w:rsidRPr="001951E0">
              <w:rPr>
                <w:iCs/>
                <w:sz w:val="26"/>
                <w:szCs w:val="26"/>
              </w:rPr>
              <w:t>Национальная документация, являющаяся же документацией по контролируемой сделке (группе однородных сделок) согласно</w:t>
            </w:r>
            <w:r>
              <w:rPr>
                <w:iCs/>
                <w:sz w:val="26"/>
                <w:szCs w:val="26"/>
              </w:rPr>
              <w:t xml:space="preserve"> проектируемой статье 1</w:t>
            </w:r>
            <w:r w:rsidRPr="001951E0">
              <w:rPr>
                <w:iCs/>
                <w:sz w:val="26"/>
                <w:szCs w:val="26"/>
              </w:rPr>
              <w:t>05.15 НК РФ, может быть истребована у налогоплательщика ранее истребования глобальной документации: минимальный срок направления требования по предоставлению документации (национальной документации) 6 месяцев с момента окончания отчетного периода, а минимальный срок истребования глобальной документации - 15 месяцев с момента окончания</w:t>
            </w:r>
            <w:r>
              <w:rPr>
                <w:iCs/>
                <w:sz w:val="26"/>
                <w:szCs w:val="26"/>
              </w:rPr>
              <w:t xml:space="preserve"> отчетного периода. По практике</w:t>
            </w:r>
            <w:r w:rsidRPr="001951E0">
              <w:rPr>
                <w:iCs/>
                <w:sz w:val="26"/>
                <w:szCs w:val="26"/>
              </w:rPr>
              <w:t xml:space="preserve"> подготовка документации (национальной документации) производится налогоплательщиками сразу после окончания отчетного периода. Таким образом, к моменту подготовки глобальной документации налогоплательщик будет занят подготовкой национальной документации за следующий </w:t>
            </w:r>
            <w:r>
              <w:rPr>
                <w:iCs/>
                <w:sz w:val="26"/>
                <w:szCs w:val="26"/>
              </w:rPr>
              <w:t>отче</w:t>
            </w:r>
            <w:r w:rsidRPr="001951E0">
              <w:rPr>
                <w:iCs/>
                <w:sz w:val="26"/>
                <w:szCs w:val="26"/>
              </w:rPr>
              <w:t>тный период</w:t>
            </w:r>
            <w:r>
              <w:rPr>
                <w:iCs/>
                <w:sz w:val="26"/>
                <w:szCs w:val="26"/>
              </w:rPr>
              <w:t>.</w:t>
            </w:r>
            <w:r w:rsidRPr="001951E0">
              <w:rPr>
                <w:iCs/>
                <w:sz w:val="26"/>
                <w:szCs w:val="26"/>
              </w:rPr>
              <w:t xml:space="preserve"> Внесение исправлений (исключение отдельных блоков информации и замена их на ссылку на глобальную документацию) в документации (национальной документации) приведет к увеличению количества подготавливаемых документов, представляемых по требованию федерального исполнительного органа, и росту трудозатрат.</w:t>
            </w:r>
          </w:p>
          <w:p w:rsidR="00451F48" w:rsidRPr="001951E0" w:rsidRDefault="00451F48" w:rsidP="004517B4">
            <w:pPr>
              <w:jc w:val="both"/>
              <w:rPr>
                <w:iCs/>
                <w:sz w:val="26"/>
                <w:szCs w:val="26"/>
              </w:rPr>
            </w:pPr>
            <w:r>
              <w:rPr>
                <w:iCs/>
                <w:sz w:val="26"/>
                <w:szCs w:val="26"/>
              </w:rPr>
              <w:t xml:space="preserve">В связи с изложенным в пункте 2 проектируемой статьи 105.16-5 необходимо исключить </w:t>
            </w:r>
            <w:r w:rsidRPr="001951E0">
              <w:rPr>
                <w:iCs/>
                <w:sz w:val="26"/>
                <w:szCs w:val="26"/>
              </w:rPr>
              <w:t>слова «при условии наличия в национальной документации указания на пункты глобальной документации, содержащие необходимую информацию»</w:t>
            </w:r>
            <w:r>
              <w:rPr>
                <w:iCs/>
                <w:sz w:val="26"/>
                <w:szCs w:val="26"/>
              </w:rPr>
              <w:t xml:space="preserve"> и изложить указанный пункт в следующей редакции</w:t>
            </w:r>
            <w:r w:rsidRPr="001951E0">
              <w:rPr>
                <w:iCs/>
                <w:sz w:val="26"/>
                <w:szCs w:val="26"/>
              </w:rPr>
              <w:t>:</w:t>
            </w:r>
          </w:p>
          <w:p w:rsidR="00451F48" w:rsidRDefault="00451F48" w:rsidP="004517B4">
            <w:pPr>
              <w:jc w:val="both"/>
              <w:rPr>
                <w:sz w:val="26"/>
                <w:szCs w:val="26"/>
              </w:rPr>
            </w:pPr>
            <w:r>
              <w:rPr>
                <w:iCs/>
                <w:sz w:val="26"/>
                <w:szCs w:val="26"/>
              </w:rPr>
              <w:t>«</w:t>
            </w:r>
            <w:r w:rsidRPr="001951E0">
              <w:rPr>
                <w:iCs/>
                <w:sz w:val="26"/>
                <w:szCs w:val="26"/>
              </w:rPr>
              <w:t>2. В случае, если национальная документация предполагает раскрытие информации, представленной в отношении этого же финансового года в соответствии со статьей 105</w:t>
            </w:r>
            <w:r w:rsidRPr="001951E0">
              <w:rPr>
                <w:iCs/>
                <w:sz w:val="26"/>
                <w:szCs w:val="26"/>
                <w:vertAlign w:val="superscript"/>
              </w:rPr>
              <w:t>16-4</w:t>
            </w:r>
            <w:r w:rsidRPr="001951E0">
              <w:rPr>
                <w:iCs/>
                <w:sz w:val="26"/>
                <w:szCs w:val="26"/>
              </w:rPr>
              <w:t xml:space="preserve"> настоящего Кодекса в составе глобальной документации в федеральный орган исполнительной власти, уполномоченный по контролю и надзору в области налогов и сборов, повторное представление информации не требуется </w:t>
            </w:r>
            <w:r w:rsidRPr="001951E0">
              <w:rPr>
                <w:b/>
                <w:iCs/>
                <w:strike/>
                <w:sz w:val="26"/>
                <w:szCs w:val="26"/>
              </w:rPr>
              <w:t>при условии наличия в национальной документации указания на пункты глобальной документации, содержащие необходимую информацию</w:t>
            </w:r>
            <w:r w:rsidRPr="001951E0">
              <w:rPr>
                <w:iCs/>
                <w:sz w:val="26"/>
                <w:szCs w:val="26"/>
              </w:rPr>
              <w:t>.</w:t>
            </w:r>
            <w:r>
              <w:rPr>
                <w:i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25</w:t>
            </w:r>
          </w:p>
        </w:tc>
        <w:tc>
          <w:tcPr>
            <w:tcW w:w="1852" w:type="dxa"/>
            <w:vAlign w:val="center"/>
          </w:tcPr>
          <w:p w:rsidR="00451F48" w:rsidRDefault="00451F48" w:rsidP="000131B8">
            <w:pPr>
              <w:suppressAutoHyphens/>
              <w:jc w:val="center"/>
            </w:pPr>
            <w:r>
              <w:t>Проектируемая статья 105.16-6 НК РФ</w:t>
            </w:r>
          </w:p>
        </w:tc>
        <w:tc>
          <w:tcPr>
            <w:tcW w:w="11547" w:type="dxa"/>
            <w:vAlign w:val="center"/>
          </w:tcPr>
          <w:p w:rsidR="00451F48" w:rsidRDefault="00451F48" w:rsidP="00213C78">
            <w:pPr>
              <w:jc w:val="both"/>
              <w:rPr>
                <w:iCs/>
                <w:sz w:val="26"/>
                <w:szCs w:val="26"/>
              </w:rPr>
            </w:pPr>
            <w:r>
              <w:rPr>
                <w:iCs/>
                <w:sz w:val="26"/>
                <w:szCs w:val="26"/>
              </w:rPr>
              <w:t>Из подпункта 1 пункта 1 проектируемой статьи 105.16-6 НК РФ должен быть исключен термин</w:t>
            </w:r>
            <w:r w:rsidRPr="00283612">
              <w:rPr>
                <w:iCs/>
                <w:sz w:val="26"/>
                <w:szCs w:val="26"/>
              </w:rPr>
              <w:t>, определение которого отсутствует в НК РФ</w:t>
            </w:r>
            <w:r>
              <w:rPr>
                <w:iCs/>
                <w:sz w:val="26"/>
                <w:szCs w:val="26"/>
              </w:rPr>
              <w:t>.</w:t>
            </w:r>
          </w:p>
          <w:p w:rsidR="00451F48" w:rsidRPr="00283612" w:rsidRDefault="00451F48" w:rsidP="00213C78">
            <w:pPr>
              <w:jc w:val="both"/>
              <w:rPr>
                <w:iCs/>
                <w:sz w:val="26"/>
                <w:szCs w:val="26"/>
                <w:lang w:val="en-US"/>
              </w:rPr>
            </w:pPr>
            <w:r>
              <w:rPr>
                <w:iCs/>
                <w:sz w:val="26"/>
                <w:szCs w:val="26"/>
              </w:rPr>
              <w:t>Также указанный пункт должен быть приведен в соответствие рекомендациям</w:t>
            </w:r>
            <w:r w:rsidRPr="00283612">
              <w:rPr>
                <w:iCs/>
                <w:sz w:val="26"/>
                <w:szCs w:val="26"/>
              </w:rPr>
              <w:t xml:space="preserve"> ОЭСР по Мероприятию </w:t>
            </w:r>
            <w:r w:rsidRPr="00283612">
              <w:rPr>
                <w:iCs/>
                <w:sz w:val="26"/>
                <w:szCs w:val="26"/>
                <w:lang w:val="en-US"/>
              </w:rPr>
              <w:t>13 BEPS (Template for CBCR – Specific instructions): Revenues should include revenues from sales of inventory and properties, services, royalties, interest, premiums and any other amounts. Revenues should exclude payments received from othe</w:t>
            </w:r>
            <w:r>
              <w:rPr>
                <w:iCs/>
                <w:sz w:val="26"/>
                <w:szCs w:val="26"/>
                <w:lang w:val="en-US"/>
              </w:rPr>
              <w:t xml:space="preserve">r Constituent Entities that are </w:t>
            </w:r>
            <w:r w:rsidRPr="00283612">
              <w:rPr>
                <w:iCs/>
                <w:sz w:val="26"/>
                <w:szCs w:val="26"/>
                <w:lang w:val="en-US"/>
              </w:rPr>
              <w:t>treated as dividends in the payor’s tax jurisdiction.</w:t>
            </w:r>
          </w:p>
          <w:p w:rsidR="00451F48" w:rsidRPr="00885BFC" w:rsidRDefault="00451F48" w:rsidP="00213C78">
            <w:pPr>
              <w:jc w:val="both"/>
              <w:rPr>
                <w:iCs/>
                <w:sz w:val="26"/>
                <w:szCs w:val="26"/>
              </w:rPr>
            </w:pPr>
            <w:r>
              <w:rPr>
                <w:iCs/>
                <w:sz w:val="26"/>
                <w:szCs w:val="26"/>
              </w:rPr>
              <w:lastRenderedPageBreak/>
              <w:t>В связи с изложенным подпункт 1 пункта 1 проектируемой статьи 105.16-6 НК РФ предлагаем изложить в следующей редакции</w:t>
            </w:r>
            <w:r w:rsidRPr="00885BFC">
              <w:rPr>
                <w:iCs/>
                <w:sz w:val="26"/>
                <w:szCs w:val="26"/>
              </w:rPr>
              <w:t>:</w:t>
            </w:r>
          </w:p>
          <w:p w:rsidR="00451F48" w:rsidRDefault="00451F48" w:rsidP="00213C78">
            <w:pPr>
              <w:jc w:val="both"/>
              <w:rPr>
                <w:sz w:val="26"/>
                <w:szCs w:val="26"/>
              </w:rPr>
            </w:pPr>
            <w:r>
              <w:rPr>
                <w:iCs/>
                <w:sz w:val="26"/>
                <w:szCs w:val="26"/>
              </w:rPr>
              <w:t>«</w:t>
            </w:r>
            <w:r w:rsidRPr="00283612">
              <w:rPr>
                <w:iCs/>
                <w:sz w:val="26"/>
                <w:szCs w:val="26"/>
              </w:rPr>
              <w:t xml:space="preserve">1) общую сумму доходов (выручки) по сделкам за финансовый год, за который составляется страновой отчет, в том числе с разбивкой на сумму доходов (выручки) по сделкам с участниками этой международной группы компаний </w:t>
            </w:r>
            <w:r w:rsidRPr="00283612">
              <w:rPr>
                <w:b/>
                <w:iCs/>
                <w:strike/>
                <w:sz w:val="26"/>
                <w:szCs w:val="26"/>
              </w:rPr>
              <w:t>и ассоциированными предприятиями</w:t>
            </w:r>
            <w:r w:rsidRPr="00283612">
              <w:rPr>
                <w:iCs/>
                <w:sz w:val="26"/>
                <w:szCs w:val="26"/>
              </w:rPr>
              <w:t xml:space="preserve"> и сумму доходов (выручки) по сделкам с другими лицами</w:t>
            </w:r>
            <w:r w:rsidRPr="00283612">
              <w:rPr>
                <w:b/>
                <w:iCs/>
                <w:sz w:val="26"/>
                <w:szCs w:val="26"/>
              </w:rPr>
              <w:t>. В доходы включаются доходы от реализации и внереализационные доходы. Из доходов исключаются суммы дивидендов, полученные от участников международной группы компаний, если данные суммы признаются дивидендами в стране, налоговым резидентом которой является плательщик дивидендов</w:t>
            </w:r>
            <w:r w:rsidRPr="00283612">
              <w:rPr>
                <w:iCs/>
                <w:sz w:val="26"/>
                <w:szCs w:val="26"/>
              </w:rPr>
              <w:t>;</w:t>
            </w:r>
            <w:r>
              <w:rPr>
                <w:i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26</w:t>
            </w:r>
          </w:p>
        </w:tc>
        <w:tc>
          <w:tcPr>
            <w:tcW w:w="1852" w:type="dxa"/>
            <w:vAlign w:val="center"/>
          </w:tcPr>
          <w:p w:rsidR="00451F48" w:rsidRDefault="00451F48" w:rsidP="000131B8">
            <w:pPr>
              <w:suppressAutoHyphens/>
              <w:jc w:val="center"/>
            </w:pPr>
            <w:r>
              <w:t>Проектируемая статья 105.16-6 НК РФ</w:t>
            </w:r>
          </w:p>
        </w:tc>
        <w:tc>
          <w:tcPr>
            <w:tcW w:w="11547" w:type="dxa"/>
            <w:vAlign w:val="center"/>
          </w:tcPr>
          <w:p w:rsidR="00451F48" w:rsidRPr="00457EC4" w:rsidRDefault="00451F48" w:rsidP="0011513E">
            <w:pPr>
              <w:jc w:val="both"/>
              <w:rPr>
                <w:iCs/>
                <w:sz w:val="26"/>
                <w:szCs w:val="26"/>
                <w:lang w:val="en-US"/>
              </w:rPr>
            </w:pPr>
            <w:r>
              <w:rPr>
                <w:iCs/>
                <w:sz w:val="26"/>
                <w:szCs w:val="26"/>
              </w:rPr>
              <w:t>Положения проектируемой статьи 105.16-6 должны быть приведены в соответствие рекомендациям</w:t>
            </w:r>
            <w:r w:rsidRPr="00457EC4">
              <w:rPr>
                <w:iCs/>
                <w:sz w:val="26"/>
                <w:szCs w:val="26"/>
              </w:rPr>
              <w:t xml:space="preserve"> ОЭСР по Мероприятию </w:t>
            </w:r>
            <w:r w:rsidRPr="00457EC4">
              <w:rPr>
                <w:iCs/>
                <w:sz w:val="26"/>
                <w:szCs w:val="26"/>
                <w:lang w:val="en-US"/>
              </w:rPr>
              <w:t>13 BEPS (Template for CBCR – Specific instructions): Tangible assets for this purpose do not include cash or cash equivalents, intangibles, or financial assets.</w:t>
            </w:r>
          </w:p>
          <w:p w:rsidR="00451F48" w:rsidRPr="00457EC4" w:rsidRDefault="00451F48" w:rsidP="0011513E">
            <w:pPr>
              <w:jc w:val="both"/>
              <w:rPr>
                <w:iCs/>
                <w:sz w:val="26"/>
                <w:szCs w:val="26"/>
              </w:rPr>
            </w:pPr>
            <w:r>
              <w:rPr>
                <w:iCs/>
                <w:sz w:val="26"/>
                <w:szCs w:val="26"/>
              </w:rPr>
              <w:t>В связи с этим п</w:t>
            </w:r>
            <w:r w:rsidRPr="00457EC4">
              <w:rPr>
                <w:iCs/>
                <w:sz w:val="26"/>
                <w:szCs w:val="26"/>
              </w:rPr>
              <w:t xml:space="preserve">одпункт 8 пункта 1 статьи </w:t>
            </w:r>
            <w:r>
              <w:rPr>
                <w:iCs/>
                <w:sz w:val="26"/>
                <w:szCs w:val="26"/>
              </w:rPr>
              <w:t xml:space="preserve">проектируемой статьи 105.16-6 необходимо </w:t>
            </w:r>
            <w:r w:rsidRPr="00457EC4">
              <w:rPr>
                <w:iCs/>
                <w:sz w:val="26"/>
                <w:szCs w:val="26"/>
              </w:rPr>
              <w:t>дополнить словами «(за исключением денежных средств и их эквивалентов)» после слов «материальных активов»:</w:t>
            </w:r>
          </w:p>
          <w:p w:rsidR="00451F48" w:rsidRDefault="00451F48" w:rsidP="0011513E">
            <w:pPr>
              <w:jc w:val="both"/>
              <w:rPr>
                <w:sz w:val="26"/>
                <w:szCs w:val="26"/>
              </w:rPr>
            </w:pPr>
            <w:r>
              <w:rPr>
                <w:iCs/>
                <w:sz w:val="26"/>
                <w:szCs w:val="26"/>
              </w:rPr>
              <w:t>«</w:t>
            </w:r>
            <w:r w:rsidRPr="00457EC4">
              <w:rPr>
                <w:iCs/>
                <w:sz w:val="26"/>
                <w:szCs w:val="26"/>
              </w:rPr>
              <w:t xml:space="preserve">8) величину материальных активов </w:t>
            </w:r>
            <w:r w:rsidRPr="00457EC4">
              <w:rPr>
                <w:b/>
                <w:iCs/>
                <w:sz w:val="26"/>
                <w:szCs w:val="26"/>
              </w:rPr>
              <w:t>(за исключением денежных средств и их эквивалентов)</w:t>
            </w:r>
            <w:r w:rsidRPr="00457EC4">
              <w:rPr>
                <w:iCs/>
                <w:sz w:val="26"/>
                <w:szCs w:val="26"/>
              </w:rPr>
              <w:t xml:space="preserve"> на дату окончания финансового года, за который составляется страновой отчет;</w:t>
            </w:r>
            <w:r>
              <w:rPr>
                <w:iCs/>
                <w:sz w:val="26"/>
                <w:szCs w:val="26"/>
              </w:rPr>
              <w:t>»</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27</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Default="00451F48" w:rsidP="00610248">
            <w:pPr>
              <w:pStyle w:val="22"/>
              <w:spacing w:line="240" w:lineRule="auto"/>
              <w:jc w:val="both"/>
              <w:rPr>
                <w:sz w:val="26"/>
                <w:szCs w:val="26"/>
              </w:rPr>
            </w:pPr>
            <w:r w:rsidRPr="00606425">
              <w:rPr>
                <w:sz w:val="26"/>
                <w:szCs w:val="26"/>
              </w:rPr>
              <w:t xml:space="preserve">Абзац 2 пункта 3 </w:t>
            </w:r>
            <w:r>
              <w:rPr>
                <w:sz w:val="26"/>
                <w:szCs w:val="26"/>
              </w:rPr>
              <w:t xml:space="preserve">проектируемой </w:t>
            </w:r>
            <w:r w:rsidRPr="00606425">
              <w:rPr>
                <w:sz w:val="26"/>
                <w:szCs w:val="26"/>
              </w:rPr>
              <w:t>статьи</w:t>
            </w:r>
            <w:r>
              <w:rPr>
                <w:sz w:val="26"/>
                <w:szCs w:val="26"/>
              </w:rPr>
              <w:t xml:space="preserve"> 105.16-3 НК РФ необходимо дополнить </w:t>
            </w:r>
            <w:r w:rsidRPr="00606425">
              <w:rPr>
                <w:sz w:val="26"/>
                <w:szCs w:val="26"/>
              </w:rPr>
              <w:t xml:space="preserve">положением об истребовании глобальной документации ФНС России при проведении проверки в соответствии </w:t>
            </w:r>
            <w:r>
              <w:rPr>
                <w:sz w:val="26"/>
                <w:szCs w:val="26"/>
              </w:rPr>
              <w:t xml:space="preserve">с проектируемой статьей 105.17 </w:t>
            </w:r>
            <w:r w:rsidRPr="00606425">
              <w:rPr>
                <w:sz w:val="26"/>
                <w:szCs w:val="26"/>
              </w:rPr>
              <w:t xml:space="preserve">НК РФ. Действующим законодательство о налогах и сборах возможность истребования налоговым органом у налогоплательщика документов (информации) предусмотрена исключительно в рамках проверки либо в случае возникновения обоснованной необходимости получения документов (информации) относительно конкретной сделки. Истребование в иных </w:t>
            </w:r>
            <w:r>
              <w:rPr>
                <w:sz w:val="26"/>
                <w:szCs w:val="26"/>
              </w:rPr>
              <w:t xml:space="preserve">случаях противоречит положениям </w:t>
            </w:r>
            <w:r w:rsidRPr="00606425">
              <w:rPr>
                <w:sz w:val="26"/>
                <w:szCs w:val="26"/>
              </w:rPr>
              <w:t xml:space="preserve">законодательства. Предоставление глобальной документации не охватывается положениями пункта 2 статьи 93.1 НК РФ, поскольку глобальная документация не является документом (информацией) относительно конкретной сделки. Более того, указанное положение содержалось в ранее размещенной версии законопроекта и поправка об исключении такого требования не предлагалась участниками публичных обсуждений (согласно опубликованной на сайте  </w:t>
            </w:r>
            <w:r w:rsidRPr="00606425">
              <w:rPr>
                <w:sz w:val="26"/>
                <w:szCs w:val="26"/>
                <w:lang w:val="en-US"/>
              </w:rPr>
              <w:t>regulation</w:t>
            </w:r>
            <w:r w:rsidRPr="00606425">
              <w:rPr>
                <w:sz w:val="26"/>
                <w:szCs w:val="26"/>
              </w:rPr>
              <w:t>.</w:t>
            </w:r>
            <w:r w:rsidRPr="00606425">
              <w:rPr>
                <w:sz w:val="26"/>
                <w:szCs w:val="26"/>
                <w:lang w:val="en-US"/>
              </w:rPr>
              <w:t>gov</w:t>
            </w:r>
            <w:r w:rsidRPr="00606425">
              <w:rPr>
                <w:sz w:val="26"/>
                <w:szCs w:val="26"/>
              </w:rPr>
              <w:t>.</w:t>
            </w:r>
            <w:r w:rsidRPr="00606425">
              <w:rPr>
                <w:sz w:val="26"/>
                <w:szCs w:val="26"/>
                <w:lang w:val="en-US"/>
              </w:rPr>
              <w:t>ru</w:t>
            </w:r>
            <w:r w:rsidRPr="00606425">
              <w:rPr>
                <w:sz w:val="26"/>
                <w:szCs w:val="26"/>
              </w:rPr>
              <w:t xml:space="preserve"> сводке предложений).</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28</w:t>
            </w:r>
          </w:p>
        </w:tc>
        <w:tc>
          <w:tcPr>
            <w:tcW w:w="1852" w:type="dxa"/>
            <w:vAlign w:val="center"/>
          </w:tcPr>
          <w:p w:rsidR="00451F48" w:rsidRDefault="00451F48" w:rsidP="000131B8">
            <w:pPr>
              <w:suppressAutoHyphens/>
              <w:jc w:val="center"/>
            </w:pPr>
            <w:r>
              <w:t>Проектируемая статья 105.16-3 НК РФ</w:t>
            </w:r>
          </w:p>
        </w:tc>
        <w:tc>
          <w:tcPr>
            <w:tcW w:w="11547" w:type="dxa"/>
            <w:vAlign w:val="center"/>
          </w:tcPr>
          <w:p w:rsidR="00451F48" w:rsidRPr="00C23D1F" w:rsidRDefault="00451F48" w:rsidP="004A2AE7">
            <w:pPr>
              <w:pStyle w:val="22"/>
              <w:spacing w:line="240" w:lineRule="auto"/>
              <w:jc w:val="both"/>
              <w:rPr>
                <w:sz w:val="26"/>
                <w:szCs w:val="26"/>
              </w:rPr>
            </w:pPr>
            <w:r w:rsidRPr="00C23D1F">
              <w:rPr>
                <w:sz w:val="26"/>
                <w:szCs w:val="26"/>
              </w:rPr>
              <w:t xml:space="preserve">Предлагается исключить абзац 2 пункта 5 </w:t>
            </w:r>
            <w:r>
              <w:rPr>
                <w:sz w:val="26"/>
                <w:szCs w:val="26"/>
              </w:rPr>
              <w:t xml:space="preserve">проектируемой статьи 105.16-3 </w:t>
            </w:r>
            <w:r w:rsidRPr="00C23D1F">
              <w:rPr>
                <w:sz w:val="26"/>
                <w:szCs w:val="26"/>
              </w:rPr>
              <w:t>НК РФ ввиду следующего:</w:t>
            </w:r>
          </w:p>
          <w:p w:rsidR="00451F48" w:rsidRPr="00C23D1F" w:rsidRDefault="00451F48" w:rsidP="004A2AE7">
            <w:pPr>
              <w:pStyle w:val="22"/>
              <w:spacing w:line="240" w:lineRule="auto"/>
              <w:jc w:val="both"/>
              <w:rPr>
                <w:sz w:val="26"/>
                <w:szCs w:val="26"/>
              </w:rPr>
            </w:pPr>
            <w:r w:rsidRPr="00C23D1F">
              <w:rPr>
                <w:sz w:val="26"/>
                <w:szCs w:val="26"/>
              </w:rPr>
              <w:t>- предоставляемый в общем порядке страновой отчет не содержит информацию, составляющую государственную и/или коммерческую тайну;</w:t>
            </w:r>
          </w:p>
          <w:p w:rsidR="00451F48" w:rsidRPr="00C23D1F" w:rsidRDefault="00451F48" w:rsidP="004A2AE7">
            <w:pPr>
              <w:pStyle w:val="22"/>
              <w:spacing w:line="240" w:lineRule="auto"/>
              <w:jc w:val="both"/>
              <w:rPr>
                <w:sz w:val="26"/>
                <w:szCs w:val="26"/>
              </w:rPr>
            </w:pPr>
            <w:r w:rsidRPr="00C23D1F">
              <w:rPr>
                <w:sz w:val="26"/>
                <w:szCs w:val="26"/>
              </w:rPr>
              <w:t xml:space="preserve">- нормативными правовыми актами Российской Федерации не предусмотрено получение предварительного согласия на представление </w:t>
            </w:r>
            <w:r>
              <w:rPr>
                <w:sz w:val="26"/>
                <w:szCs w:val="26"/>
              </w:rPr>
              <w:t xml:space="preserve">информации, содержащейся в </w:t>
            </w:r>
            <w:r w:rsidRPr="00C23D1F">
              <w:rPr>
                <w:sz w:val="26"/>
                <w:szCs w:val="26"/>
              </w:rPr>
              <w:t xml:space="preserve">страновом отчете. Указом Президента </w:t>
            </w:r>
            <w:r>
              <w:rPr>
                <w:sz w:val="26"/>
                <w:szCs w:val="26"/>
              </w:rPr>
              <w:t xml:space="preserve">Российской Федерации от 11 сентября 2012 г. </w:t>
            </w:r>
            <w:r w:rsidRPr="00C23D1F">
              <w:rPr>
                <w:sz w:val="26"/>
                <w:szCs w:val="26"/>
              </w:rPr>
              <w:t xml:space="preserve">№ 1285 «О мерах по защите интересов Российской Федерации при осуществлении российскими юридическими лицами внешнеэкономической деятельности» установлено, что предварительное согласие федерального органа исполнительной власти необходимо при представлении информации о своей деятельности в случае предъявления к таким организациям требований со стороны органов иностранных государств, международных организаций, союзных объединений иностранных государств, органов (институтов) этих организаций и объединений, включая органы регулирования и (или) контроля. Более того, </w:t>
            </w:r>
            <w:r>
              <w:rPr>
                <w:sz w:val="26"/>
                <w:szCs w:val="26"/>
              </w:rPr>
              <w:t xml:space="preserve">подпунктом «а» пункта 1 </w:t>
            </w:r>
            <w:r w:rsidRPr="00C23D1F">
              <w:rPr>
                <w:sz w:val="26"/>
                <w:szCs w:val="26"/>
              </w:rPr>
              <w:t xml:space="preserve">данного </w:t>
            </w:r>
            <w:r>
              <w:rPr>
                <w:sz w:val="26"/>
                <w:szCs w:val="26"/>
              </w:rPr>
              <w:t>У</w:t>
            </w:r>
            <w:r w:rsidRPr="00C23D1F">
              <w:rPr>
                <w:sz w:val="26"/>
                <w:szCs w:val="26"/>
              </w:rPr>
              <w:t>каза установлено, что без предварительного согласия федерального орга</w:t>
            </w:r>
            <w:r>
              <w:rPr>
                <w:sz w:val="26"/>
                <w:szCs w:val="26"/>
              </w:rPr>
              <w:t xml:space="preserve">на исполнительной власти такие </w:t>
            </w:r>
            <w:r w:rsidRPr="00C23D1F">
              <w:rPr>
                <w:sz w:val="26"/>
                <w:szCs w:val="26"/>
              </w:rPr>
              <w:t>акционерные общества и их дочерние хозяйственные общества вправе предоставлять таким органам, организациям и объединениям информацию, подлежащую … раскрытию в соответствии с законодательством Российской Федерации.</w:t>
            </w:r>
          </w:p>
          <w:p w:rsidR="00451F48" w:rsidRPr="00C23D1F" w:rsidRDefault="00451F48" w:rsidP="004A2AE7">
            <w:pPr>
              <w:pStyle w:val="22"/>
              <w:spacing w:line="240" w:lineRule="auto"/>
              <w:jc w:val="both"/>
              <w:rPr>
                <w:sz w:val="26"/>
                <w:szCs w:val="26"/>
              </w:rPr>
            </w:pPr>
            <w:r>
              <w:rPr>
                <w:sz w:val="26"/>
                <w:szCs w:val="26"/>
              </w:rPr>
              <w:t xml:space="preserve">Страновой отчет </w:t>
            </w:r>
            <w:r w:rsidRPr="00C23D1F">
              <w:rPr>
                <w:sz w:val="26"/>
                <w:szCs w:val="26"/>
              </w:rPr>
              <w:t>будет</w:t>
            </w:r>
            <w:r>
              <w:rPr>
                <w:sz w:val="26"/>
                <w:szCs w:val="26"/>
              </w:rPr>
              <w:t xml:space="preserve"> представляться в ФНС России </w:t>
            </w:r>
            <w:r w:rsidRPr="00C23D1F">
              <w:rPr>
                <w:sz w:val="26"/>
                <w:szCs w:val="26"/>
              </w:rPr>
              <w:t>в соответствии с требованиями, установленными законодательством Российской Федерации и принятыми в соответствии с ним нормативными правовыми актами;</w:t>
            </w:r>
          </w:p>
          <w:p w:rsidR="00451F48" w:rsidRPr="00C23D1F" w:rsidRDefault="00451F48" w:rsidP="004A2AE7">
            <w:pPr>
              <w:pStyle w:val="22"/>
              <w:spacing w:line="240" w:lineRule="auto"/>
              <w:jc w:val="both"/>
              <w:rPr>
                <w:sz w:val="26"/>
                <w:szCs w:val="26"/>
              </w:rPr>
            </w:pPr>
            <w:r w:rsidRPr="00C23D1F">
              <w:rPr>
                <w:sz w:val="26"/>
                <w:szCs w:val="26"/>
              </w:rPr>
              <w:t>- обязанность по представлению странового отчета возложена на материнскую компанию международной группы компаний либо на уполномоченного участника такой международной группы.</w:t>
            </w:r>
          </w:p>
          <w:p w:rsidR="00451F48" w:rsidRDefault="00451F48" w:rsidP="004A2AE7">
            <w:pPr>
              <w:jc w:val="both"/>
              <w:rPr>
                <w:sz w:val="26"/>
                <w:szCs w:val="26"/>
              </w:rPr>
            </w:pPr>
            <w:r w:rsidRPr="00C23D1F">
              <w:rPr>
                <w:sz w:val="26"/>
                <w:szCs w:val="26"/>
              </w:rPr>
              <w:t xml:space="preserve">Вместе с тем положения абзаца 2 пункта 5 </w:t>
            </w:r>
            <w:r>
              <w:rPr>
                <w:sz w:val="26"/>
                <w:szCs w:val="26"/>
              </w:rPr>
              <w:t xml:space="preserve">проектируемой </w:t>
            </w:r>
            <w:r w:rsidRPr="00C23D1F">
              <w:rPr>
                <w:sz w:val="26"/>
                <w:szCs w:val="26"/>
              </w:rPr>
              <w:t xml:space="preserve">статьи </w:t>
            </w:r>
            <w:r>
              <w:rPr>
                <w:sz w:val="26"/>
                <w:szCs w:val="26"/>
              </w:rPr>
              <w:t xml:space="preserve">105.16-3 </w:t>
            </w:r>
            <w:r w:rsidRPr="00C23D1F">
              <w:rPr>
                <w:sz w:val="26"/>
                <w:szCs w:val="26"/>
              </w:rPr>
              <w:t>НК РФ устанавливают обязанность представления предварительного согласия федерального органа исполнительной власти в отношении каждого участника международной группы компаний, включенного в перечень стратегических предприятий, стратегических акционерных обществ и их дочерних хозяйственных обществ.</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29</w:t>
            </w:r>
          </w:p>
        </w:tc>
        <w:tc>
          <w:tcPr>
            <w:tcW w:w="1852" w:type="dxa"/>
            <w:vAlign w:val="center"/>
          </w:tcPr>
          <w:p w:rsidR="00451F48" w:rsidRDefault="00451F48" w:rsidP="000131B8">
            <w:pPr>
              <w:suppressAutoHyphens/>
              <w:jc w:val="center"/>
            </w:pPr>
            <w:r>
              <w:t xml:space="preserve">Проектируемая статья 105.16-6 </w:t>
            </w:r>
            <w:r>
              <w:lastRenderedPageBreak/>
              <w:t>НК РФ</w:t>
            </w:r>
          </w:p>
        </w:tc>
        <w:tc>
          <w:tcPr>
            <w:tcW w:w="11547" w:type="dxa"/>
            <w:vAlign w:val="center"/>
          </w:tcPr>
          <w:p w:rsidR="00451F48" w:rsidRPr="009329BE" w:rsidRDefault="00451F48" w:rsidP="00505B65">
            <w:pPr>
              <w:pStyle w:val="22"/>
              <w:spacing w:line="240" w:lineRule="auto"/>
              <w:jc w:val="both"/>
              <w:rPr>
                <w:sz w:val="26"/>
                <w:szCs w:val="26"/>
              </w:rPr>
            </w:pPr>
            <w:r w:rsidRPr="009329BE">
              <w:rPr>
                <w:sz w:val="26"/>
                <w:szCs w:val="26"/>
              </w:rPr>
              <w:lastRenderedPageBreak/>
              <w:t xml:space="preserve">Подпункт 1 пункта 1 </w:t>
            </w:r>
            <w:r>
              <w:rPr>
                <w:sz w:val="26"/>
                <w:szCs w:val="26"/>
              </w:rPr>
              <w:t xml:space="preserve">проектируемой </w:t>
            </w:r>
            <w:r w:rsidRPr="009329BE">
              <w:rPr>
                <w:sz w:val="26"/>
                <w:szCs w:val="26"/>
              </w:rPr>
              <w:t xml:space="preserve">статьи </w:t>
            </w:r>
            <w:r>
              <w:rPr>
                <w:sz w:val="26"/>
                <w:szCs w:val="26"/>
              </w:rPr>
              <w:t xml:space="preserve">105.16-6 предлагаем скорректировать </w:t>
            </w:r>
            <w:r w:rsidRPr="009329BE">
              <w:rPr>
                <w:sz w:val="26"/>
                <w:szCs w:val="26"/>
              </w:rPr>
              <w:t xml:space="preserve">с учетом того, что в страновом отчете материнская компания раскрывает показатели международной группы компаний </w:t>
            </w:r>
            <w:r w:rsidRPr="009329BE">
              <w:rPr>
                <w:sz w:val="26"/>
                <w:szCs w:val="26"/>
              </w:rPr>
              <w:lastRenderedPageBreak/>
              <w:t>и ее участников.</w:t>
            </w:r>
          </w:p>
          <w:p w:rsidR="00451F48" w:rsidRDefault="00451F48" w:rsidP="00505B65">
            <w:pPr>
              <w:jc w:val="both"/>
              <w:rPr>
                <w:sz w:val="26"/>
                <w:szCs w:val="26"/>
              </w:rPr>
            </w:pPr>
            <w:r w:rsidRPr="009329BE">
              <w:rPr>
                <w:sz w:val="26"/>
                <w:szCs w:val="26"/>
              </w:rPr>
              <w:t xml:space="preserve">Ассоциированные предприятия не являются участниками международной группы компаний, определение «ассоциированных предприятий» в </w:t>
            </w:r>
            <w:r>
              <w:rPr>
                <w:sz w:val="26"/>
                <w:szCs w:val="26"/>
              </w:rPr>
              <w:t>проекте акта</w:t>
            </w:r>
            <w:r w:rsidRPr="009329BE">
              <w:rPr>
                <w:sz w:val="26"/>
                <w:szCs w:val="26"/>
              </w:rPr>
              <w:t xml:space="preserve"> не дано.</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30</w:t>
            </w:r>
          </w:p>
        </w:tc>
        <w:tc>
          <w:tcPr>
            <w:tcW w:w="1852" w:type="dxa"/>
            <w:vAlign w:val="center"/>
          </w:tcPr>
          <w:p w:rsidR="00451F48" w:rsidRDefault="00451F48" w:rsidP="000131B8">
            <w:pPr>
              <w:suppressAutoHyphens/>
              <w:jc w:val="center"/>
            </w:pPr>
            <w:r>
              <w:t>Проект акта в целом</w:t>
            </w:r>
          </w:p>
        </w:tc>
        <w:tc>
          <w:tcPr>
            <w:tcW w:w="11547" w:type="dxa"/>
            <w:vAlign w:val="center"/>
          </w:tcPr>
          <w:p w:rsidR="00451F48" w:rsidRPr="00A702FB" w:rsidRDefault="00451F48" w:rsidP="00054C8F">
            <w:pPr>
              <w:jc w:val="both"/>
              <w:rPr>
                <w:sz w:val="26"/>
                <w:szCs w:val="26"/>
              </w:rPr>
            </w:pPr>
            <w:r w:rsidRPr="00A702FB">
              <w:rPr>
                <w:sz w:val="26"/>
                <w:szCs w:val="26"/>
              </w:rPr>
              <w:t>В настоящее время финансовая информация в достаточном для анализа налоговыми органами объеме предоставляется в рамках годовой и промежуточной бухгалтерской отчетности в соответствии с российскими стандартами бухгалтерского учета (РСБУ), предоставляемой организациями в установленные налоговым законодательством сроки.</w:t>
            </w:r>
          </w:p>
          <w:p w:rsidR="00451F48" w:rsidRPr="00A702FB" w:rsidRDefault="00451F48" w:rsidP="00054C8F">
            <w:pPr>
              <w:jc w:val="both"/>
              <w:rPr>
                <w:sz w:val="26"/>
                <w:szCs w:val="26"/>
              </w:rPr>
            </w:pPr>
            <w:r w:rsidRPr="00A702FB">
              <w:rPr>
                <w:sz w:val="26"/>
                <w:szCs w:val="26"/>
              </w:rPr>
              <w:t>В отчете о финансовых результатах страховщиков (форма № 2) есть такой показатель, как страхование жизни.</w:t>
            </w:r>
          </w:p>
          <w:p w:rsidR="00451F48" w:rsidRDefault="00451F48" w:rsidP="00054C8F">
            <w:pPr>
              <w:autoSpaceDE w:val="0"/>
              <w:autoSpaceDN w:val="0"/>
              <w:adjustRightInd w:val="0"/>
              <w:jc w:val="both"/>
              <w:rPr>
                <w:sz w:val="26"/>
                <w:szCs w:val="26"/>
              </w:rPr>
            </w:pPr>
            <w:r w:rsidRPr="00A702FB">
              <w:rPr>
                <w:sz w:val="26"/>
                <w:szCs w:val="26"/>
              </w:rPr>
              <w:t>Кроме того страховщики представляют в Центральный банк Российской Федерации консолидированную финансовую отчетность, раскрываемую в соответствии с Международными стандартами финансовой отчетности (МСФО).</w:t>
            </w:r>
          </w:p>
          <w:p w:rsidR="00451F48" w:rsidRPr="00054C8F" w:rsidRDefault="00451F48" w:rsidP="00054C8F">
            <w:pPr>
              <w:autoSpaceDE w:val="0"/>
              <w:autoSpaceDN w:val="0"/>
              <w:adjustRightInd w:val="0"/>
              <w:jc w:val="both"/>
              <w:rPr>
                <w:rFonts w:eastAsia="Calibri"/>
                <w:sz w:val="26"/>
                <w:szCs w:val="26"/>
                <w:lang w:eastAsia="en-US"/>
              </w:rPr>
            </w:pPr>
            <w:r w:rsidRPr="00054C8F">
              <w:rPr>
                <w:rFonts w:eastAsia="Calibri"/>
                <w:sz w:val="26"/>
                <w:szCs w:val="26"/>
                <w:lang w:eastAsia="en-US"/>
              </w:rPr>
              <w:t>В случае потребности налоговых органов в информации, содержащейся в указанной отчетности, целесообразно выстроить систему документооборота, при котором консолидированная финансовая отчетность будет направляться в контролирующие органы в режиме «одного окна».</w:t>
            </w:r>
          </w:p>
          <w:p w:rsidR="00451F48" w:rsidRDefault="00451F48" w:rsidP="00054C8F">
            <w:pPr>
              <w:jc w:val="both"/>
              <w:rPr>
                <w:sz w:val="26"/>
                <w:szCs w:val="26"/>
              </w:rPr>
            </w:pPr>
            <w:r w:rsidRPr="00A702FB">
              <w:rPr>
                <w:color w:val="000000"/>
                <w:sz w:val="26"/>
                <w:szCs w:val="26"/>
              </w:rPr>
              <w:t xml:space="preserve">Таким образом, положения </w:t>
            </w:r>
            <w:r>
              <w:rPr>
                <w:color w:val="000000"/>
                <w:sz w:val="26"/>
                <w:szCs w:val="26"/>
              </w:rPr>
              <w:t>проекта акта</w:t>
            </w:r>
            <w:r w:rsidRPr="00A702FB">
              <w:rPr>
                <w:color w:val="000000"/>
                <w:sz w:val="26"/>
                <w:szCs w:val="26"/>
              </w:rPr>
              <w:t xml:space="preserve"> вводят избыточные обязанности по </w:t>
            </w:r>
            <w:r>
              <w:rPr>
                <w:color w:val="000000"/>
                <w:sz w:val="26"/>
                <w:szCs w:val="26"/>
              </w:rPr>
              <w:t xml:space="preserve">представлению </w:t>
            </w:r>
            <w:r w:rsidRPr="00A702FB">
              <w:rPr>
                <w:color w:val="000000"/>
                <w:sz w:val="26"/>
                <w:szCs w:val="26"/>
              </w:rPr>
              <w:t>информации, что потребует для страховых организаций дополнительных затрат как материальных, так и трудовых ресурсов.</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t>31</w:t>
            </w:r>
          </w:p>
        </w:tc>
        <w:tc>
          <w:tcPr>
            <w:tcW w:w="1852" w:type="dxa"/>
            <w:vAlign w:val="center"/>
          </w:tcPr>
          <w:p w:rsidR="00451F48" w:rsidRDefault="00451F48" w:rsidP="000131B8">
            <w:pPr>
              <w:suppressAutoHyphens/>
              <w:jc w:val="center"/>
            </w:pPr>
            <w:r>
              <w:t>Проектируемая статья 105.16-6 НК РФ</w:t>
            </w:r>
          </w:p>
        </w:tc>
        <w:tc>
          <w:tcPr>
            <w:tcW w:w="11547" w:type="dxa"/>
            <w:vAlign w:val="center"/>
          </w:tcPr>
          <w:p w:rsidR="00451F48" w:rsidRPr="006777BD" w:rsidRDefault="00451F48" w:rsidP="00CC1D9A">
            <w:pPr>
              <w:autoSpaceDE w:val="0"/>
              <w:autoSpaceDN w:val="0"/>
              <w:adjustRightInd w:val="0"/>
              <w:jc w:val="both"/>
              <w:rPr>
                <w:sz w:val="26"/>
                <w:szCs w:val="26"/>
              </w:rPr>
            </w:pPr>
            <w:r w:rsidRPr="006777BD">
              <w:rPr>
                <w:sz w:val="26"/>
                <w:szCs w:val="26"/>
              </w:rPr>
              <w:t xml:space="preserve">Согласно пункту 2 </w:t>
            </w:r>
            <w:r>
              <w:rPr>
                <w:sz w:val="26"/>
                <w:szCs w:val="26"/>
              </w:rPr>
              <w:t xml:space="preserve">проектируемой </w:t>
            </w:r>
            <w:r w:rsidRPr="006777BD">
              <w:rPr>
                <w:sz w:val="26"/>
                <w:szCs w:val="26"/>
              </w:rPr>
              <w:t xml:space="preserve">статьи </w:t>
            </w:r>
            <w:r>
              <w:rPr>
                <w:sz w:val="26"/>
                <w:szCs w:val="26"/>
              </w:rPr>
              <w:t xml:space="preserve">105.16-6 НК РФ </w:t>
            </w:r>
            <w:r w:rsidRPr="006777BD">
              <w:rPr>
                <w:sz w:val="26"/>
                <w:szCs w:val="26"/>
              </w:rPr>
              <w:t xml:space="preserve">информация в </w:t>
            </w:r>
            <w:r>
              <w:rPr>
                <w:sz w:val="26"/>
                <w:szCs w:val="26"/>
              </w:rPr>
              <w:t xml:space="preserve">страновом </w:t>
            </w:r>
            <w:r w:rsidRPr="006777BD">
              <w:rPr>
                <w:sz w:val="26"/>
                <w:szCs w:val="26"/>
              </w:rPr>
              <w:t>отчете по международной группе компаний отражается в обобщенном виде в разрезе по странам без детализации по каждому участнику группы.</w:t>
            </w:r>
          </w:p>
          <w:p w:rsidR="00451F48" w:rsidRPr="006777BD" w:rsidRDefault="00451F48" w:rsidP="00CC1D9A">
            <w:pPr>
              <w:autoSpaceDE w:val="0"/>
              <w:autoSpaceDN w:val="0"/>
              <w:adjustRightInd w:val="0"/>
              <w:jc w:val="both"/>
              <w:rPr>
                <w:sz w:val="26"/>
                <w:szCs w:val="26"/>
              </w:rPr>
            </w:pPr>
            <w:r w:rsidRPr="006777BD">
              <w:rPr>
                <w:sz w:val="26"/>
                <w:szCs w:val="26"/>
              </w:rPr>
              <w:t>Согласно пункту 1 указанной статьи, раскрытию подлежит следующая информация:</w:t>
            </w:r>
          </w:p>
          <w:p w:rsidR="00451F48" w:rsidRPr="006777BD" w:rsidRDefault="00451F48" w:rsidP="00CC1D9A">
            <w:pPr>
              <w:autoSpaceDE w:val="0"/>
              <w:autoSpaceDN w:val="0"/>
              <w:adjustRightInd w:val="0"/>
              <w:jc w:val="both"/>
              <w:rPr>
                <w:sz w:val="26"/>
                <w:szCs w:val="26"/>
              </w:rPr>
            </w:pPr>
            <w:r w:rsidRPr="006777BD">
              <w:rPr>
                <w:sz w:val="26"/>
                <w:szCs w:val="26"/>
              </w:rPr>
              <w:t>1.</w:t>
            </w:r>
            <w:r w:rsidRPr="006777BD">
              <w:rPr>
                <w:sz w:val="26"/>
                <w:szCs w:val="26"/>
              </w:rPr>
              <w:tab/>
              <w:t>Общая сумма доходов (выручки) по сделкам за год с разбивкой на суммы доходов (выручки) по сделкам с участниками группы и ассоциированными компаниями и доходов с другими лицами;</w:t>
            </w:r>
          </w:p>
          <w:p w:rsidR="00451F48" w:rsidRPr="006777BD" w:rsidRDefault="00451F48" w:rsidP="00CC1D9A">
            <w:pPr>
              <w:autoSpaceDE w:val="0"/>
              <w:autoSpaceDN w:val="0"/>
              <w:adjustRightInd w:val="0"/>
              <w:jc w:val="both"/>
              <w:rPr>
                <w:sz w:val="26"/>
                <w:szCs w:val="26"/>
              </w:rPr>
            </w:pPr>
            <w:r w:rsidRPr="006777BD">
              <w:rPr>
                <w:sz w:val="26"/>
                <w:szCs w:val="26"/>
              </w:rPr>
              <w:t>2.</w:t>
            </w:r>
            <w:r w:rsidRPr="006777BD">
              <w:rPr>
                <w:sz w:val="26"/>
                <w:szCs w:val="26"/>
              </w:rPr>
              <w:tab/>
              <w:t>Сумма прибыли до налогообложения;</w:t>
            </w:r>
          </w:p>
          <w:p w:rsidR="00451F48" w:rsidRPr="006777BD" w:rsidRDefault="00451F48" w:rsidP="00CC1D9A">
            <w:pPr>
              <w:autoSpaceDE w:val="0"/>
              <w:autoSpaceDN w:val="0"/>
              <w:adjustRightInd w:val="0"/>
              <w:jc w:val="both"/>
              <w:rPr>
                <w:sz w:val="26"/>
                <w:szCs w:val="26"/>
              </w:rPr>
            </w:pPr>
            <w:r w:rsidRPr="006777BD">
              <w:rPr>
                <w:sz w:val="26"/>
                <w:szCs w:val="26"/>
              </w:rPr>
              <w:t>3.</w:t>
            </w:r>
            <w:r w:rsidRPr="006777BD">
              <w:rPr>
                <w:sz w:val="26"/>
                <w:szCs w:val="26"/>
              </w:rPr>
              <w:tab/>
              <w:t>Сумма исчисленного и уплаченного налога на прибыль;</w:t>
            </w:r>
          </w:p>
          <w:p w:rsidR="00451F48" w:rsidRPr="006777BD" w:rsidRDefault="00451F48" w:rsidP="00CC1D9A">
            <w:pPr>
              <w:autoSpaceDE w:val="0"/>
              <w:autoSpaceDN w:val="0"/>
              <w:adjustRightInd w:val="0"/>
              <w:jc w:val="both"/>
              <w:rPr>
                <w:sz w:val="26"/>
                <w:szCs w:val="26"/>
              </w:rPr>
            </w:pPr>
            <w:r w:rsidRPr="006777BD">
              <w:rPr>
                <w:sz w:val="26"/>
                <w:szCs w:val="26"/>
              </w:rPr>
              <w:t>4.</w:t>
            </w:r>
            <w:r w:rsidRPr="006777BD">
              <w:rPr>
                <w:sz w:val="26"/>
                <w:szCs w:val="26"/>
              </w:rPr>
              <w:tab/>
              <w:t>Размер уставного капитала и пр.</w:t>
            </w:r>
          </w:p>
          <w:p w:rsidR="00451F48" w:rsidRPr="006777BD" w:rsidRDefault="00451F48" w:rsidP="00CC1D9A">
            <w:pPr>
              <w:autoSpaceDE w:val="0"/>
              <w:autoSpaceDN w:val="0"/>
              <w:adjustRightInd w:val="0"/>
              <w:jc w:val="both"/>
              <w:rPr>
                <w:sz w:val="26"/>
                <w:szCs w:val="26"/>
              </w:rPr>
            </w:pPr>
            <w:r w:rsidRPr="006777BD">
              <w:rPr>
                <w:sz w:val="26"/>
                <w:szCs w:val="26"/>
              </w:rPr>
              <w:t>Источник информации – консолидированная отчетность по МСФО.</w:t>
            </w:r>
          </w:p>
          <w:p w:rsidR="00451F48" w:rsidRDefault="00451F48" w:rsidP="00CC1D9A">
            <w:pPr>
              <w:autoSpaceDE w:val="0"/>
              <w:autoSpaceDN w:val="0"/>
              <w:adjustRightInd w:val="0"/>
              <w:jc w:val="both"/>
              <w:rPr>
                <w:sz w:val="26"/>
                <w:szCs w:val="26"/>
              </w:rPr>
            </w:pPr>
            <w:r w:rsidRPr="006777BD">
              <w:rPr>
                <w:sz w:val="26"/>
                <w:szCs w:val="26"/>
              </w:rPr>
              <w:t>Следует отметить, что при формировании консолидированной отчетности внутригрупповые обороты, в том</w:t>
            </w:r>
            <w:r>
              <w:rPr>
                <w:sz w:val="26"/>
                <w:szCs w:val="26"/>
              </w:rPr>
              <w:t xml:space="preserve"> числе по выручке, исключаются.</w:t>
            </w:r>
          </w:p>
          <w:p w:rsidR="00451F48" w:rsidRDefault="00451F48" w:rsidP="00CC1D9A">
            <w:pPr>
              <w:autoSpaceDE w:val="0"/>
              <w:autoSpaceDN w:val="0"/>
              <w:adjustRightInd w:val="0"/>
              <w:jc w:val="both"/>
              <w:rPr>
                <w:sz w:val="26"/>
                <w:szCs w:val="26"/>
              </w:rPr>
            </w:pPr>
            <w:r>
              <w:rPr>
                <w:sz w:val="26"/>
                <w:szCs w:val="26"/>
              </w:rPr>
              <w:lastRenderedPageBreak/>
              <w:t>В связи с изложенным н</w:t>
            </w:r>
            <w:r w:rsidRPr="006777BD">
              <w:rPr>
                <w:sz w:val="26"/>
                <w:szCs w:val="26"/>
              </w:rPr>
              <w:t>еобходима конкретизация данного пункта.</w:t>
            </w:r>
            <w:r>
              <w:rPr>
                <w:sz w:val="26"/>
                <w:szCs w:val="26"/>
              </w:rPr>
              <w:t xml:space="preserve"> Данное замечание касается также показателя уставного капитала.</w:t>
            </w:r>
          </w:p>
          <w:p w:rsidR="00451F48" w:rsidRPr="006777BD" w:rsidRDefault="00451F48" w:rsidP="00CC1D9A">
            <w:pPr>
              <w:autoSpaceDE w:val="0"/>
              <w:autoSpaceDN w:val="0"/>
              <w:adjustRightInd w:val="0"/>
              <w:jc w:val="both"/>
              <w:rPr>
                <w:sz w:val="26"/>
                <w:szCs w:val="26"/>
              </w:rPr>
            </w:pPr>
            <w:r w:rsidRPr="006777BD">
              <w:rPr>
                <w:sz w:val="26"/>
                <w:szCs w:val="26"/>
              </w:rPr>
              <w:t>Кроме того, требование о раскрытии вышеуказанной инфор</w:t>
            </w:r>
            <w:r>
              <w:rPr>
                <w:sz w:val="26"/>
                <w:szCs w:val="26"/>
              </w:rPr>
              <w:t xml:space="preserve">мации в отношении сделок между </w:t>
            </w:r>
            <w:r w:rsidRPr="006777BD">
              <w:rPr>
                <w:sz w:val="26"/>
                <w:szCs w:val="26"/>
              </w:rPr>
              <w:t>компаниями - налоговыми резидентами одной страны является избыточным, поскольку:</w:t>
            </w:r>
          </w:p>
          <w:p w:rsidR="00451F48" w:rsidRPr="006777BD" w:rsidRDefault="00451F48" w:rsidP="00CC1D9A">
            <w:pPr>
              <w:autoSpaceDE w:val="0"/>
              <w:autoSpaceDN w:val="0"/>
              <w:adjustRightInd w:val="0"/>
              <w:jc w:val="both"/>
              <w:rPr>
                <w:sz w:val="26"/>
                <w:szCs w:val="26"/>
              </w:rPr>
            </w:pPr>
            <w:r w:rsidRPr="006777BD">
              <w:rPr>
                <w:sz w:val="26"/>
                <w:szCs w:val="26"/>
              </w:rPr>
              <w:t>- компании подлежат налогообложению в одной стране;</w:t>
            </w:r>
          </w:p>
          <w:p w:rsidR="00451F48" w:rsidRPr="006777BD" w:rsidRDefault="00451F48" w:rsidP="00CC1D9A">
            <w:pPr>
              <w:autoSpaceDE w:val="0"/>
              <w:autoSpaceDN w:val="0"/>
              <w:adjustRightInd w:val="0"/>
              <w:jc w:val="both"/>
              <w:rPr>
                <w:sz w:val="26"/>
                <w:szCs w:val="26"/>
              </w:rPr>
            </w:pPr>
            <w:r w:rsidRPr="006777BD">
              <w:rPr>
                <w:sz w:val="26"/>
                <w:szCs w:val="26"/>
              </w:rPr>
              <w:t>- у налоговых органов есть подробная информация;</w:t>
            </w:r>
          </w:p>
          <w:p w:rsidR="00451F48" w:rsidRPr="006777BD" w:rsidRDefault="00451F48" w:rsidP="00CC1D9A">
            <w:pPr>
              <w:autoSpaceDE w:val="0"/>
              <w:autoSpaceDN w:val="0"/>
              <w:adjustRightInd w:val="0"/>
              <w:jc w:val="both"/>
              <w:rPr>
                <w:sz w:val="26"/>
                <w:szCs w:val="26"/>
              </w:rPr>
            </w:pPr>
            <w:r w:rsidRPr="006777BD">
              <w:rPr>
                <w:sz w:val="26"/>
                <w:szCs w:val="26"/>
              </w:rPr>
              <w:t>- в отношении Российской Федерации в случае появления контролируемых сделок дополнительная информация будет раскрыта в уведомлении.</w:t>
            </w:r>
          </w:p>
          <w:p w:rsidR="00451F48" w:rsidRDefault="00451F48" w:rsidP="00CC1D9A">
            <w:pPr>
              <w:autoSpaceDE w:val="0"/>
              <w:autoSpaceDN w:val="0"/>
              <w:adjustRightInd w:val="0"/>
              <w:jc w:val="both"/>
              <w:rPr>
                <w:sz w:val="26"/>
                <w:szCs w:val="26"/>
              </w:rPr>
            </w:pPr>
            <w:r w:rsidRPr="006777BD">
              <w:rPr>
                <w:sz w:val="26"/>
                <w:szCs w:val="26"/>
              </w:rPr>
              <w:t>С точки зрения межстранового контроля, целесообразно детализировать только объемы операций с участниками группы -</w:t>
            </w:r>
            <w:r>
              <w:rPr>
                <w:sz w:val="26"/>
                <w:szCs w:val="26"/>
              </w:rPr>
              <w:t xml:space="preserve"> налоговыми резидентами других </w:t>
            </w:r>
            <w:r w:rsidRPr="006777BD">
              <w:rPr>
                <w:sz w:val="26"/>
                <w:szCs w:val="26"/>
              </w:rPr>
              <w:t>стран.</w:t>
            </w:r>
          </w:p>
        </w:tc>
      </w:tr>
      <w:tr w:rsidR="00451F48" w:rsidRPr="0059303C" w:rsidTr="00451F48">
        <w:trPr>
          <w:trHeight w:val="391"/>
          <w:jc w:val="center"/>
        </w:trPr>
        <w:tc>
          <w:tcPr>
            <w:tcW w:w="708" w:type="dxa"/>
          </w:tcPr>
          <w:p w:rsidR="00451F48" w:rsidRDefault="00451F48" w:rsidP="005478D7">
            <w:pPr>
              <w:suppressAutoHyphens/>
              <w:jc w:val="center"/>
              <w:rPr>
                <w:b/>
              </w:rPr>
            </w:pPr>
            <w:r>
              <w:rPr>
                <w:b/>
              </w:rPr>
              <w:lastRenderedPageBreak/>
              <w:t>32</w:t>
            </w:r>
          </w:p>
        </w:tc>
        <w:tc>
          <w:tcPr>
            <w:tcW w:w="1852" w:type="dxa"/>
            <w:vAlign w:val="center"/>
          </w:tcPr>
          <w:p w:rsidR="00451F48" w:rsidRDefault="00451F48" w:rsidP="000131B8">
            <w:pPr>
              <w:suppressAutoHyphens/>
              <w:jc w:val="center"/>
            </w:pPr>
            <w:r>
              <w:t>Проектируемая статья 105.16-2 НК РФ</w:t>
            </w:r>
          </w:p>
        </w:tc>
        <w:tc>
          <w:tcPr>
            <w:tcW w:w="11547" w:type="dxa"/>
            <w:vAlign w:val="center"/>
          </w:tcPr>
          <w:p w:rsidR="00451F48" w:rsidRDefault="00451F48" w:rsidP="00D67EC3">
            <w:pPr>
              <w:jc w:val="both"/>
              <w:rPr>
                <w:sz w:val="26"/>
                <w:szCs w:val="26"/>
              </w:rPr>
            </w:pPr>
            <w:r>
              <w:rPr>
                <w:sz w:val="26"/>
                <w:szCs w:val="26"/>
              </w:rPr>
              <w:t>Требует пояснения термин «личный закон материнской компании», используемый в подпункте 6 пункта 5 проектируемой статьи 105.16-2 НК РФ.</w:t>
            </w:r>
          </w:p>
        </w:tc>
      </w:tr>
    </w:tbl>
    <w:p w:rsidR="00D6647E" w:rsidRDefault="00D6647E" w:rsidP="006B39E3">
      <w:pPr>
        <w:rPr>
          <w:sz w:val="18"/>
          <w:szCs w:val="18"/>
        </w:rPr>
      </w:pPr>
    </w:p>
    <w:p w:rsidR="00D71D71" w:rsidRDefault="00D71D71" w:rsidP="006B39E3">
      <w:pPr>
        <w:rPr>
          <w:sz w:val="18"/>
          <w:szCs w:val="18"/>
        </w:rPr>
      </w:pPr>
    </w:p>
    <w:p w:rsidR="00D6647E" w:rsidRDefault="00D6647E" w:rsidP="006B39E3">
      <w:pPr>
        <w:rPr>
          <w:sz w:val="18"/>
          <w:szCs w:val="18"/>
        </w:rPr>
      </w:pPr>
    </w:p>
    <w:p w:rsidR="00D71D71" w:rsidRPr="00394517" w:rsidRDefault="00451F48" w:rsidP="006B39E3">
      <w:pP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14.65pt;margin-top:213.1pt;width:197.2pt;height:36.35pt;z-index:1" stroked="f">
            <v:textbox style="mso-next-textbox:#_x0000_s1026">
              <w:txbxContent>
                <w:p w:rsidR="00D71D71" w:rsidRPr="00EE3214" w:rsidRDefault="00D71D71" w:rsidP="00D71D71">
                  <w:pPr>
                    <w:pStyle w:val="a9"/>
                    <w:rPr>
                      <w:sz w:val="16"/>
                      <w:szCs w:val="16"/>
                    </w:rPr>
                  </w:pPr>
                  <w:r>
                    <w:rPr>
                      <w:sz w:val="16"/>
                      <w:szCs w:val="16"/>
                    </w:rPr>
                    <w:t>М.В. Краснова</w:t>
                  </w:r>
                </w:p>
                <w:p w:rsidR="00D71D71" w:rsidRDefault="00D71D71" w:rsidP="00D71D71">
                  <w:pPr>
                    <w:pStyle w:val="a9"/>
                    <w:rPr>
                      <w:sz w:val="16"/>
                      <w:szCs w:val="16"/>
                    </w:rPr>
                  </w:pPr>
                  <w:r>
                    <w:rPr>
                      <w:sz w:val="16"/>
                      <w:szCs w:val="16"/>
                    </w:rPr>
                    <w:t>8(495)650-87-00, доб.2645</w:t>
                  </w:r>
                </w:p>
                <w:p w:rsidR="00D71D71" w:rsidRPr="00775B21" w:rsidRDefault="00D71D71" w:rsidP="00D71D71">
                  <w:pPr>
                    <w:pStyle w:val="a9"/>
                    <w:rPr>
                      <w:sz w:val="16"/>
                      <w:szCs w:val="16"/>
                    </w:rPr>
                  </w:pPr>
                  <w:r>
                    <w:rPr>
                      <w:sz w:val="16"/>
                      <w:szCs w:val="16"/>
                    </w:rPr>
                    <w:t>Департамент оценки регулирующего воздействия</w:t>
                  </w:r>
                </w:p>
                <w:p w:rsidR="00D71D71" w:rsidRPr="00775B21" w:rsidRDefault="00D71D71" w:rsidP="00D71D71">
                  <w:pPr>
                    <w:pStyle w:val="a9"/>
                    <w:rPr>
                      <w:sz w:val="16"/>
                      <w:szCs w:val="16"/>
                    </w:rPr>
                  </w:pPr>
                </w:p>
                <w:p w:rsidR="00D71D71" w:rsidRDefault="00D71D71" w:rsidP="00D71D71"/>
              </w:txbxContent>
            </v:textbox>
          </v:shape>
        </w:pict>
      </w:r>
    </w:p>
    <w:sectPr w:rsidR="00D71D71" w:rsidRPr="00394517" w:rsidSect="00FE14C9">
      <w:headerReference w:type="even" r:id="rId8"/>
      <w:headerReference w:type="default" r:id="rId9"/>
      <w:pgSz w:w="16838" w:h="11906" w:orient="landscape"/>
      <w:pgMar w:top="1321" w:right="1134" w:bottom="74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23" w:rsidRDefault="00EE7723">
      <w:r>
        <w:separator/>
      </w:r>
    </w:p>
  </w:endnote>
  <w:endnote w:type="continuationSeparator" w:id="0">
    <w:p w:rsidR="00EE7723" w:rsidRDefault="00EE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23" w:rsidRDefault="00EE7723">
      <w:r>
        <w:separator/>
      </w:r>
    </w:p>
  </w:footnote>
  <w:footnote w:type="continuationSeparator" w:id="0">
    <w:p w:rsidR="00EE7723" w:rsidRDefault="00EE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A7" w:rsidRDefault="003014A7"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14A7" w:rsidRDefault="003014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A7" w:rsidRDefault="003014A7"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2351">
      <w:rPr>
        <w:rStyle w:val="a5"/>
        <w:noProof/>
      </w:rPr>
      <w:t>2</w:t>
    </w:r>
    <w:r>
      <w:rPr>
        <w:rStyle w:val="a5"/>
      </w:rPr>
      <w:fldChar w:fldCharType="end"/>
    </w:r>
  </w:p>
  <w:p w:rsidR="003014A7" w:rsidRDefault="003014A7" w:rsidP="00397A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6528"/>
    <w:multiLevelType w:val="hybridMultilevel"/>
    <w:tmpl w:val="891C7878"/>
    <w:lvl w:ilvl="0" w:tplc="F8624916">
      <w:start w:val="1"/>
      <w:numFmt w:val="bullet"/>
      <w:lvlText w:val=""/>
      <w:lvlJc w:val="left"/>
      <w:pPr>
        <w:ind w:left="1037" w:hanging="360"/>
      </w:pPr>
      <w:rPr>
        <w:rFonts w:ascii="Symbol" w:hAnsi="Symbol" w:hint="default"/>
        <w:b/>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
    <w:nsid w:val="11D84A68"/>
    <w:multiLevelType w:val="hybridMultilevel"/>
    <w:tmpl w:val="7FAC58A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44B2428"/>
    <w:multiLevelType w:val="hybridMultilevel"/>
    <w:tmpl w:val="9DC87DB2"/>
    <w:lvl w:ilvl="0" w:tplc="4CA48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87D53"/>
    <w:multiLevelType w:val="hybridMultilevel"/>
    <w:tmpl w:val="8DB8307A"/>
    <w:lvl w:ilvl="0" w:tplc="5BCC1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CB5C27"/>
    <w:multiLevelType w:val="multilevel"/>
    <w:tmpl w:val="9A36886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C63E21"/>
    <w:multiLevelType w:val="multilevel"/>
    <w:tmpl w:val="91363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AD1C3A"/>
    <w:multiLevelType w:val="multilevel"/>
    <w:tmpl w:val="1312F5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5B6939"/>
    <w:multiLevelType w:val="hybridMultilevel"/>
    <w:tmpl w:val="67D270DE"/>
    <w:lvl w:ilvl="0" w:tplc="494A0D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F1D30"/>
    <w:multiLevelType w:val="hybridMultilevel"/>
    <w:tmpl w:val="82C8B6F6"/>
    <w:lvl w:ilvl="0" w:tplc="F56E3E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A1F2A"/>
    <w:multiLevelType w:val="hybridMultilevel"/>
    <w:tmpl w:val="27A09410"/>
    <w:lvl w:ilvl="0" w:tplc="9DC07430">
      <w:start w:val="1"/>
      <w:numFmt w:val="decimal"/>
      <w:lvlText w:val="%1."/>
      <w:lvlJc w:val="left"/>
      <w:pPr>
        <w:tabs>
          <w:tab w:val="num" w:pos="540"/>
        </w:tabs>
        <w:ind w:left="540"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6433C8E"/>
    <w:multiLevelType w:val="hybridMultilevel"/>
    <w:tmpl w:val="3E165232"/>
    <w:lvl w:ilvl="0" w:tplc="14B6F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454086"/>
    <w:multiLevelType w:val="hybridMultilevel"/>
    <w:tmpl w:val="9136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641A2"/>
    <w:multiLevelType w:val="hybridMultilevel"/>
    <w:tmpl w:val="4C721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16603A"/>
    <w:multiLevelType w:val="hybridMultilevel"/>
    <w:tmpl w:val="19AA1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57F85"/>
    <w:multiLevelType w:val="hybridMultilevel"/>
    <w:tmpl w:val="A75C2828"/>
    <w:lvl w:ilvl="0" w:tplc="0419000F">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5">
    <w:nsid w:val="5DFD71D1"/>
    <w:multiLevelType w:val="hybridMultilevel"/>
    <w:tmpl w:val="69DEF9D4"/>
    <w:lvl w:ilvl="0" w:tplc="8BAA882C">
      <w:start w:val="1"/>
      <w:numFmt w:val="bullet"/>
      <w:lvlText w:val="-"/>
      <w:lvlJc w:val="left"/>
      <w:pPr>
        <w:tabs>
          <w:tab w:val="num" w:pos="1990"/>
        </w:tabs>
        <w:ind w:left="199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D620795"/>
    <w:multiLevelType w:val="hybridMultilevel"/>
    <w:tmpl w:val="1E5E4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21906C1"/>
    <w:multiLevelType w:val="hybridMultilevel"/>
    <w:tmpl w:val="2736884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A63A8"/>
    <w:multiLevelType w:val="hybridMultilevel"/>
    <w:tmpl w:val="A054203C"/>
    <w:lvl w:ilvl="0" w:tplc="2786C8AC">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A7B1926"/>
    <w:multiLevelType w:val="multilevel"/>
    <w:tmpl w:val="443077EE"/>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FF705C8"/>
    <w:multiLevelType w:val="hybridMultilevel"/>
    <w:tmpl w:val="8E723270"/>
    <w:lvl w:ilvl="0" w:tplc="0D3402BE">
      <w:start w:val="1"/>
      <w:numFmt w:val="decimal"/>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13"/>
  </w:num>
  <w:num w:numId="5">
    <w:abstractNumId w:val="6"/>
  </w:num>
  <w:num w:numId="6">
    <w:abstractNumId w:val="20"/>
  </w:num>
  <w:num w:numId="7">
    <w:abstractNumId w:val="11"/>
  </w:num>
  <w:num w:numId="8">
    <w:abstractNumId w:val="16"/>
  </w:num>
  <w:num w:numId="9">
    <w:abstractNumId w:val="8"/>
  </w:num>
  <w:num w:numId="10">
    <w:abstractNumId w:val="17"/>
  </w:num>
  <w:num w:numId="11">
    <w:abstractNumId w:val="5"/>
  </w:num>
  <w:num w:numId="12">
    <w:abstractNumId w:val="15"/>
  </w:num>
  <w:num w:numId="13">
    <w:abstractNumId w:val="4"/>
  </w:num>
  <w:num w:numId="14">
    <w:abstractNumId w:val="19"/>
  </w:num>
  <w:num w:numId="15">
    <w:abstractNumId w:val="1"/>
  </w:num>
  <w:num w:numId="16">
    <w:abstractNumId w:val="14"/>
  </w:num>
  <w:num w:numId="17">
    <w:abstractNumId w:val="10"/>
  </w:num>
  <w:num w:numId="18">
    <w:abstractNumId w:val="12"/>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4C9"/>
    <w:rsid w:val="00000FFE"/>
    <w:rsid w:val="00001B0B"/>
    <w:rsid w:val="00002DE3"/>
    <w:rsid w:val="00004007"/>
    <w:rsid w:val="00004922"/>
    <w:rsid w:val="000050B4"/>
    <w:rsid w:val="00005F0C"/>
    <w:rsid w:val="000131B8"/>
    <w:rsid w:val="00013678"/>
    <w:rsid w:val="0001456D"/>
    <w:rsid w:val="00016282"/>
    <w:rsid w:val="00017464"/>
    <w:rsid w:val="00017B21"/>
    <w:rsid w:val="00020052"/>
    <w:rsid w:val="00020C89"/>
    <w:rsid w:val="00021EC6"/>
    <w:rsid w:val="000245DE"/>
    <w:rsid w:val="00024AA9"/>
    <w:rsid w:val="000254FF"/>
    <w:rsid w:val="00025B4E"/>
    <w:rsid w:val="00025E7A"/>
    <w:rsid w:val="00027256"/>
    <w:rsid w:val="0003092E"/>
    <w:rsid w:val="0003159F"/>
    <w:rsid w:val="000326AD"/>
    <w:rsid w:val="00032C8B"/>
    <w:rsid w:val="00033D40"/>
    <w:rsid w:val="0003456A"/>
    <w:rsid w:val="00034911"/>
    <w:rsid w:val="00035A1C"/>
    <w:rsid w:val="00035D80"/>
    <w:rsid w:val="00035DD2"/>
    <w:rsid w:val="00036E4F"/>
    <w:rsid w:val="00042551"/>
    <w:rsid w:val="000433EB"/>
    <w:rsid w:val="00044D01"/>
    <w:rsid w:val="00045AE1"/>
    <w:rsid w:val="000500BF"/>
    <w:rsid w:val="000510C9"/>
    <w:rsid w:val="000535F5"/>
    <w:rsid w:val="00054A41"/>
    <w:rsid w:val="00054C8F"/>
    <w:rsid w:val="00055F8E"/>
    <w:rsid w:val="000574BB"/>
    <w:rsid w:val="00061633"/>
    <w:rsid w:val="0006284A"/>
    <w:rsid w:val="00064C41"/>
    <w:rsid w:val="00064ED1"/>
    <w:rsid w:val="00065103"/>
    <w:rsid w:val="00065D89"/>
    <w:rsid w:val="000665A2"/>
    <w:rsid w:val="00066EDF"/>
    <w:rsid w:val="00071293"/>
    <w:rsid w:val="00071D97"/>
    <w:rsid w:val="00072B87"/>
    <w:rsid w:val="00073482"/>
    <w:rsid w:val="000736B6"/>
    <w:rsid w:val="00073852"/>
    <w:rsid w:val="00073A97"/>
    <w:rsid w:val="00073B0D"/>
    <w:rsid w:val="00073C4A"/>
    <w:rsid w:val="000746B3"/>
    <w:rsid w:val="0007551E"/>
    <w:rsid w:val="00075A0A"/>
    <w:rsid w:val="000760C5"/>
    <w:rsid w:val="000770D9"/>
    <w:rsid w:val="000812B0"/>
    <w:rsid w:val="00082A96"/>
    <w:rsid w:val="00084A07"/>
    <w:rsid w:val="00084EC2"/>
    <w:rsid w:val="00085007"/>
    <w:rsid w:val="000853AA"/>
    <w:rsid w:val="00085AC9"/>
    <w:rsid w:val="00086E79"/>
    <w:rsid w:val="00087017"/>
    <w:rsid w:val="00087295"/>
    <w:rsid w:val="00087BEC"/>
    <w:rsid w:val="00090903"/>
    <w:rsid w:val="0009183A"/>
    <w:rsid w:val="00091A7F"/>
    <w:rsid w:val="0009261E"/>
    <w:rsid w:val="00092DC9"/>
    <w:rsid w:val="00094707"/>
    <w:rsid w:val="00094AF0"/>
    <w:rsid w:val="000963B9"/>
    <w:rsid w:val="000A0A97"/>
    <w:rsid w:val="000A4CDB"/>
    <w:rsid w:val="000A4FC8"/>
    <w:rsid w:val="000A6FAE"/>
    <w:rsid w:val="000B0A00"/>
    <w:rsid w:val="000B0D72"/>
    <w:rsid w:val="000B1EE1"/>
    <w:rsid w:val="000B2401"/>
    <w:rsid w:val="000B2D69"/>
    <w:rsid w:val="000B535A"/>
    <w:rsid w:val="000B53BE"/>
    <w:rsid w:val="000B5E47"/>
    <w:rsid w:val="000B60BC"/>
    <w:rsid w:val="000B678F"/>
    <w:rsid w:val="000C0581"/>
    <w:rsid w:val="000C0A14"/>
    <w:rsid w:val="000C1898"/>
    <w:rsid w:val="000C1ECE"/>
    <w:rsid w:val="000C3336"/>
    <w:rsid w:val="000C354C"/>
    <w:rsid w:val="000C4328"/>
    <w:rsid w:val="000C4BEA"/>
    <w:rsid w:val="000C4F0C"/>
    <w:rsid w:val="000C7523"/>
    <w:rsid w:val="000C78A4"/>
    <w:rsid w:val="000D10FA"/>
    <w:rsid w:val="000D134C"/>
    <w:rsid w:val="000D3052"/>
    <w:rsid w:val="000D36D3"/>
    <w:rsid w:val="000D3890"/>
    <w:rsid w:val="000D3B60"/>
    <w:rsid w:val="000D4938"/>
    <w:rsid w:val="000D610D"/>
    <w:rsid w:val="000D7B5C"/>
    <w:rsid w:val="000E181E"/>
    <w:rsid w:val="000E3972"/>
    <w:rsid w:val="000E4DD1"/>
    <w:rsid w:val="000E5B13"/>
    <w:rsid w:val="000E702B"/>
    <w:rsid w:val="000F002D"/>
    <w:rsid w:val="000F12E1"/>
    <w:rsid w:val="000F1B5A"/>
    <w:rsid w:val="000F39EE"/>
    <w:rsid w:val="000F4567"/>
    <w:rsid w:val="000F5808"/>
    <w:rsid w:val="000F5F83"/>
    <w:rsid w:val="000F6B85"/>
    <w:rsid w:val="001016EE"/>
    <w:rsid w:val="00102CA3"/>
    <w:rsid w:val="00103E72"/>
    <w:rsid w:val="00104EE0"/>
    <w:rsid w:val="00106430"/>
    <w:rsid w:val="00106527"/>
    <w:rsid w:val="00106957"/>
    <w:rsid w:val="001069C9"/>
    <w:rsid w:val="001116F0"/>
    <w:rsid w:val="001123E6"/>
    <w:rsid w:val="00112EDB"/>
    <w:rsid w:val="00114109"/>
    <w:rsid w:val="00114BB6"/>
    <w:rsid w:val="0011513E"/>
    <w:rsid w:val="001218BB"/>
    <w:rsid w:val="00121D34"/>
    <w:rsid w:val="00123F2F"/>
    <w:rsid w:val="00131EF2"/>
    <w:rsid w:val="001333D5"/>
    <w:rsid w:val="00134623"/>
    <w:rsid w:val="001354F5"/>
    <w:rsid w:val="00135BF9"/>
    <w:rsid w:val="001369E6"/>
    <w:rsid w:val="00141E30"/>
    <w:rsid w:val="00145ACC"/>
    <w:rsid w:val="00145B55"/>
    <w:rsid w:val="001469F4"/>
    <w:rsid w:val="00147584"/>
    <w:rsid w:val="00147F67"/>
    <w:rsid w:val="001506BF"/>
    <w:rsid w:val="001524DE"/>
    <w:rsid w:val="00153DDB"/>
    <w:rsid w:val="00153F50"/>
    <w:rsid w:val="00154353"/>
    <w:rsid w:val="00155118"/>
    <w:rsid w:val="00156103"/>
    <w:rsid w:val="00156277"/>
    <w:rsid w:val="00157829"/>
    <w:rsid w:val="0016060B"/>
    <w:rsid w:val="00160A73"/>
    <w:rsid w:val="0016179E"/>
    <w:rsid w:val="00162288"/>
    <w:rsid w:val="00162860"/>
    <w:rsid w:val="001629F0"/>
    <w:rsid w:val="00163425"/>
    <w:rsid w:val="001643EF"/>
    <w:rsid w:val="0016453F"/>
    <w:rsid w:val="00164CFF"/>
    <w:rsid w:val="00164DE8"/>
    <w:rsid w:val="00165770"/>
    <w:rsid w:val="0016705F"/>
    <w:rsid w:val="00170004"/>
    <w:rsid w:val="001714A0"/>
    <w:rsid w:val="00171FC9"/>
    <w:rsid w:val="001721DB"/>
    <w:rsid w:val="0017221A"/>
    <w:rsid w:val="001727BE"/>
    <w:rsid w:val="00173654"/>
    <w:rsid w:val="001740A1"/>
    <w:rsid w:val="001740A4"/>
    <w:rsid w:val="00174174"/>
    <w:rsid w:val="001748A7"/>
    <w:rsid w:val="0017509B"/>
    <w:rsid w:val="0017575C"/>
    <w:rsid w:val="00176174"/>
    <w:rsid w:val="001765B9"/>
    <w:rsid w:val="00176D8A"/>
    <w:rsid w:val="0018006D"/>
    <w:rsid w:val="00180311"/>
    <w:rsid w:val="00180ED2"/>
    <w:rsid w:val="00182CC8"/>
    <w:rsid w:val="00182DA8"/>
    <w:rsid w:val="00184219"/>
    <w:rsid w:val="0018653B"/>
    <w:rsid w:val="0018676A"/>
    <w:rsid w:val="00186816"/>
    <w:rsid w:val="00187274"/>
    <w:rsid w:val="00187FD9"/>
    <w:rsid w:val="001901BA"/>
    <w:rsid w:val="001931C0"/>
    <w:rsid w:val="001931DE"/>
    <w:rsid w:val="001932B8"/>
    <w:rsid w:val="00193B5E"/>
    <w:rsid w:val="00193C75"/>
    <w:rsid w:val="001956C0"/>
    <w:rsid w:val="00196DFF"/>
    <w:rsid w:val="00197126"/>
    <w:rsid w:val="001A10ED"/>
    <w:rsid w:val="001A25DB"/>
    <w:rsid w:val="001A2678"/>
    <w:rsid w:val="001A33AB"/>
    <w:rsid w:val="001A5068"/>
    <w:rsid w:val="001A5508"/>
    <w:rsid w:val="001B28FB"/>
    <w:rsid w:val="001B3FF8"/>
    <w:rsid w:val="001B5781"/>
    <w:rsid w:val="001B73E0"/>
    <w:rsid w:val="001C0362"/>
    <w:rsid w:val="001C132D"/>
    <w:rsid w:val="001C41DA"/>
    <w:rsid w:val="001C48BF"/>
    <w:rsid w:val="001C54E6"/>
    <w:rsid w:val="001C5BD2"/>
    <w:rsid w:val="001C5D6D"/>
    <w:rsid w:val="001C68CF"/>
    <w:rsid w:val="001C7C40"/>
    <w:rsid w:val="001D216D"/>
    <w:rsid w:val="001D2351"/>
    <w:rsid w:val="001D24D1"/>
    <w:rsid w:val="001D2ED1"/>
    <w:rsid w:val="001D383C"/>
    <w:rsid w:val="001D56E0"/>
    <w:rsid w:val="001D6089"/>
    <w:rsid w:val="001E04B3"/>
    <w:rsid w:val="001E1986"/>
    <w:rsid w:val="001E34FF"/>
    <w:rsid w:val="001E446B"/>
    <w:rsid w:val="001E4A0A"/>
    <w:rsid w:val="001E7194"/>
    <w:rsid w:val="001E76F7"/>
    <w:rsid w:val="001F083B"/>
    <w:rsid w:val="001F0F5D"/>
    <w:rsid w:val="001F2EBA"/>
    <w:rsid w:val="001F51FB"/>
    <w:rsid w:val="001F579B"/>
    <w:rsid w:val="002004CA"/>
    <w:rsid w:val="002008EB"/>
    <w:rsid w:val="00201D3C"/>
    <w:rsid w:val="00201D59"/>
    <w:rsid w:val="0020220A"/>
    <w:rsid w:val="002043E8"/>
    <w:rsid w:val="00206C43"/>
    <w:rsid w:val="002072AD"/>
    <w:rsid w:val="00207C23"/>
    <w:rsid w:val="00207D9B"/>
    <w:rsid w:val="002105D2"/>
    <w:rsid w:val="00210AC8"/>
    <w:rsid w:val="002110EA"/>
    <w:rsid w:val="002111FC"/>
    <w:rsid w:val="00212D3E"/>
    <w:rsid w:val="00213C78"/>
    <w:rsid w:val="00213D49"/>
    <w:rsid w:val="0021427E"/>
    <w:rsid w:val="002145F8"/>
    <w:rsid w:val="002152ED"/>
    <w:rsid w:val="00215762"/>
    <w:rsid w:val="002168F5"/>
    <w:rsid w:val="0022164A"/>
    <w:rsid w:val="00224023"/>
    <w:rsid w:val="00224039"/>
    <w:rsid w:val="0022491E"/>
    <w:rsid w:val="00224B47"/>
    <w:rsid w:val="002252D7"/>
    <w:rsid w:val="0022692E"/>
    <w:rsid w:val="00227880"/>
    <w:rsid w:val="00232249"/>
    <w:rsid w:val="0023235B"/>
    <w:rsid w:val="0023312F"/>
    <w:rsid w:val="00233539"/>
    <w:rsid w:val="0023412D"/>
    <w:rsid w:val="002342F5"/>
    <w:rsid w:val="002354B7"/>
    <w:rsid w:val="0024016D"/>
    <w:rsid w:val="00240C19"/>
    <w:rsid w:val="002429E7"/>
    <w:rsid w:val="00243659"/>
    <w:rsid w:val="00245456"/>
    <w:rsid w:val="00246897"/>
    <w:rsid w:val="00246E46"/>
    <w:rsid w:val="00247F87"/>
    <w:rsid w:val="00247FED"/>
    <w:rsid w:val="00253109"/>
    <w:rsid w:val="00257B7F"/>
    <w:rsid w:val="002614AA"/>
    <w:rsid w:val="00262380"/>
    <w:rsid w:val="00262BAA"/>
    <w:rsid w:val="00262CD4"/>
    <w:rsid w:val="002637AC"/>
    <w:rsid w:val="0026468E"/>
    <w:rsid w:val="00267718"/>
    <w:rsid w:val="00270711"/>
    <w:rsid w:val="00271CBE"/>
    <w:rsid w:val="002723AE"/>
    <w:rsid w:val="00273A91"/>
    <w:rsid w:val="00273E02"/>
    <w:rsid w:val="002742CB"/>
    <w:rsid w:val="002770F0"/>
    <w:rsid w:val="002774E0"/>
    <w:rsid w:val="00280FD9"/>
    <w:rsid w:val="00281109"/>
    <w:rsid w:val="0028293E"/>
    <w:rsid w:val="002836DD"/>
    <w:rsid w:val="00284B50"/>
    <w:rsid w:val="00284E63"/>
    <w:rsid w:val="00285563"/>
    <w:rsid w:val="00285989"/>
    <w:rsid w:val="002902B3"/>
    <w:rsid w:val="00292B4A"/>
    <w:rsid w:val="00292C31"/>
    <w:rsid w:val="0029304A"/>
    <w:rsid w:val="00293A05"/>
    <w:rsid w:val="00295EA3"/>
    <w:rsid w:val="00295F5C"/>
    <w:rsid w:val="00296063"/>
    <w:rsid w:val="00297BFA"/>
    <w:rsid w:val="002A0039"/>
    <w:rsid w:val="002A2CE4"/>
    <w:rsid w:val="002A5E00"/>
    <w:rsid w:val="002A6D50"/>
    <w:rsid w:val="002A7617"/>
    <w:rsid w:val="002B1FE6"/>
    <w:rsid w:val="002B45AF"/>
    <w:rsid w:val="002B4A29"/>
    <w:rsid w:val="002B704F"/>
    <w:rsid w:val="002B7EAA"/>
    <w:rsid w:val="002C04D8"/>
    <w:rsid w:val="002C278E"/>
    <w:rsid w:val="002C66C6"/>
    <w:rsid w:val="002C72D1"/>
    <w:rsid w:val="002C78B9"/>
    <w:rsid w:val="002C7901"/>
    <w:rsid w:val="002C7DE8"/>
    <w:rsid w:val="002D0647"/>
    <w:rsid w:val="002D4BA2"/>
    <w:rsid w:val="002D6B41"/>
    <w:rsid w:val="002E10F7"/>
    <w:rsid w:val="002E1549"/>
    <w:rsid w:val="002E2059"/>
    <w:rsid w:val="002E27B7"/>
    <w:rsid w:val="002E280D"/>
    <w:rsid w:val="002E2D8E"/>
    <w:rsid w:val="002E3932"/>
    <w:rsid w:val="002E3BC8"/>
    <w:rsid w:val="002E701C"/>
    <w:rsid w:val="002E7615"/>
    <w:rsid w:val="002E7744"/>
    <w:rsid w:val="002E7922"/>
    <w:rsid w:val="002E7B62"/>
    <w:rsid w:val="002E7F74"/>
    <w:rsid w:val="002F5689"/>
    <w:rsid w:val="002F6229"/>
    <w:rsid w:val="002F7607"/>
    <w:rsid w:val="003014A7"/>
    <w:rsid w:val="00304017"/>
    <w:rsid w:val="003045EB"/>
    <w:rsid w:val="00305676"/>
    <w:rsid w:val="003070BD"/>
    <w:rsid w:val="00307120"/>
    <w:rsid w:val="00310274"/>
    <w:rsid w:val="00310D4C"/>
    <w:rsid w:val="00310F73"/>
    <w:rsid w:val="0031251E"/>
    <w:rsid w:val="0031261D"/>
    <w:rsid w:val="00312AC7"/>
    <w:rsid w:val="00313D51"/>
    <w:rsid w:val="0031503E"/>
    <w:rsid w:val="003168DC"/>
    <w:rsid w:val="003178C5"/>
    <w:rsid w:val="003204BC"/>
    <w:rsid w:val="00321789"/>
    <w:rsid w:val="0032212F"/>
    <w:rsid w:val="003236B6"/>
    <w:rsid w:val="00323CF4"/>
    <w:rsid w:val="00324920"/>
    <w:rsid w:val="0032578D"/>
    <w:rsid w:val="0032636B"/>
    <w:rsid w:val="0032705F"/>
    <w:rsid w:val="0033090C"/>
    <w:rsid w:val="00330CE1"/>
    <w:rsid w:val="00332F03"/>
    <w:rsid w:val="00333D4A"/>
    <w:rsid w:val="003341BA"/>
    <w:rsid w:val="003342F9"/>
    <w:rsid w:val="00336B7F"/>
    <w:rsid w:val="0033745A"/>
    <w:rsid w:val="0034068D"/>
    <w:rsid w:val="00341D04"/>
    <w:rsid w:val="00342A00"/>
    <w:rsid w:val="003443C5"/>
    <w:rsid w:val="00344A67"/>
    <w:rsid w:val="00344B7F"/>
    <w:rsid w:val="00345632"/>
    <w:rsid w:val="003473EE"/>
    <w:rsid w:val="0034758B"/>
    <w:rsid w:val="00347A32"/>
    <w:rsid w:val="00347F67"/>
    <w:rsid w:val="00350656"/>
    <w:rsid w:val="003506E4"/>
    <w:rsid w:val="00350A1C"/>
    <w:rsid w:val="0035200B"/>
    <w:rsid w:val="00354BA0"/>
    <w:rsid w:val="00354D7A"/>
    <w:rsid w:val="00355630"/>
    <w:rsid w:val="0035585D"/>
    <w:rsid w:val="00356BC4"/>
    <w:rsid w:val="00356FBE"/>
    <w:rsid w:val="00357A70"/>
    <w:rsid w:val="00360791"/>
    <w:rsid w:val="003607AC"/>
    <w:rsid w:val="00360CEF"/>
    <w:rsid w:val="00360FBC"/>
    <w:rsid w:val="0036137B"/>
    <w:rsid w:val="00361DD9"/>
    <w:rsid w:val="00362CA7"/>
    <w:rsid w:val="00362DF5"/>
    <w:rsid w:val="003654A1"/>
    <w:rsid w:val="003656A9"/>
    <w:rsid w:val="00366FF8"/>
    <w:rsid w:val="00370255"/>
    <w:rsid w:val="00370BA5"/>
    <w:rsid w:val="00371972"/>
    <w:rsid w:val="00371A42"/>
    <w:rsid w:val="00372247"/>
    <w:rsid w:val="00372471"/>
    <w:rsid w:val="0037337A"/>
    <w:rsid w:val="00373F10"/>
    <w:rsid w:val="00373FD7"/>
    <w:rsid w:val="003744C3"/>
    <w:rsid w:val="00374C80"/>
    <w:rsid w:val="00375598"/>
    <w:rsid w:val="003755AA"/>
    <w:rsid w:val="003758CE"/>
    <w:rsid w:val="00380CD5"/>
    <w:rsid w:val="00381390"/>
    <w:rsid w:val="003843F2"/>
    <w:rsid w:val="00385183"/>
    <w:rsid w:val="003860FD"/>
    <w:rsid w:val="0038654F"/>
    <w:rsid w:val="003875EA"/>
    <w:rsid w:val="003878A0"/>
    <w:rsid w:val="00390BEE"/>
    <w:rsid w:val="00390C9E"/>
    <w:rsid w:val="0039183D"/>
    <w:rsid w:val="0039186E"/>
    <w:rsid w:val="003918A1"/>
    <w:rsid w:val="00391CC0"/>
    <w:rsid w:val="00391E22"/>
    <w:rsid w:val="00391E25"/>
    <w:rsid w:val="00392467"/>
    <w:rsid w:val="003936B1"/>
    <w:rsid w:val="0039397B"/>
    <w:rsid w:val="00394517"/>
    <w:rsid w:val="003959A5"/>
    <w:rsid w:val="00397AC2"/>
    <w:rsid w:val="00397AD3"/>
    <w:rsid w:val="003A023D"/>
    <w:rsid w:val="003A09C9"/>
    <w:rsid w:val="003A0D79"/>
    <w:rsid w:val="003A2E21"/>
    <w:rsid w:val="003A3564"/>
    <w:rsid w:val="003A63FA"/>
    <w:rsid w:val="003A66EC"/>
    <w:rsid w:val="003A760B"/>
    <w:rsid w:val="003A7A8D"/>
    <w:rsid w:val="003B05B2"/>
    <w:rsid w:val="003B08AE"/>
    <w:rsid w:val="003B3732"/>
    <w:rsid w:val="003B6A14"/>
    <w:rsid w:val="003B6A81"/>
    <w:rsid w:val="003B6F71"/>
    <w:rsid w:val="003C0589"/>
    <w:rsid w:val="003C1FA8"/>
    <w:rsid w:val="003C47B4"/>
    <w:rsid w:val="003C4FEB"/>
    <w:rsid w:val="003C638E"/>
    <w:rsid w:val="003C662A"/>
    <w:rsid w:val="003D1018"/>
    <w:rsid w:val="003D1ED4"/>
    <w:rsid w:val="003D308B"/>
    <w:rsid w:val="003D4D8C"/>
    <w:rsid w:val="003D4E58"/>
    <w:rsid w:val="003D5160"/>
    <w:rsid w:val="003D6199"/>
    <w:rsid w:val="003D644D"/>
    <w:rsid w:val="003E0D7F"/>
    <w:rsid w:val="003E119C"/>
    <w:rsid w:val="003E2BE8"/>
    <w:rsid w:val="003E3280"/>
    <w:rsid w:val="003E45CD"/>
    <w:rsid w:val="003E4C05"/>
    <w:rsid w:val="003E5EC5"/>
    <w:rsid w:val="003E7821"/>
    <w:rsid w:val="003F0FD6"/>
    <w:rsid w:val="003F1493"/>
    <w:rsid w:val="003F34E8"/>
    <w:rsid w:val="003F36F6"/>
    <w:rsid w:val="003F431B"/>
    <w:rsid w:val="003F56BE"/>
    <w:rsid w:val="003F5805"/>
    <w:rsid w:val="003F5D48"/>
    <w:rsid w:val="003F7EA7"/>
    <w:rsid w:val="00401DBE"/>
    <w:rsid w:val="004025FB"/>
    <w:rsid w:val="00404310"/>
    <w:rsid w:val="004044E0"/>
    <w:rsid w:val="004069C1"/>
    <w:rsid w:val="004074F8"/>
    <w:rsid w:val="00410054"/>
    <w:rsid w:val="00410654"/>
    <w:rsid w:val="00410659"/>
    <w:rsid w:val="00410834"/>
    <w:rsid w:val="00410F00"/>
    <w:rsid w:val="004115EB"/>
    <w:rsid w:val="004117EE"/>
    <w:rsid w:val="00412F0E"/>
    <w:rsid w:val="00414F37"/>
    <w:rsid w:val="00416165"/>
    <w:rsid w:val="004170E2"/>
    <w:rsid w:val="0042188B"/>
    <w:rsid w:val="00422AE4"/>
    <w:rsid w:val="0042352B"/>
    <w:rsid w:val="004237FA"/>
    <w:rsid w:val="00423CAB"/>
    <w:rsid w:val="004250DB"/>
    <w:rsid w:val="00425C8F"/>
    <w:rsid w:val="0042604A"/>
    <w:rsid w:val="00426BFE"/>
    <w:rsid w:val="00430668"/>
    <w:rsid w:val="00431426"/>
    <w:rsid w:val="00432629"/>
    <w:rsid w:val="00433610"/>
    <w:rsid w:val="0043369A"/>
    <w:rsid w:val="004352BD"/>
    <w:rsid w:val="00436F57"/>
    <w:rsid w:val="00437904"/>
    <w:rsid w:val="00437962"/>
    <w:rsid w:val="00437ECE"/>
    <w:rsid w:val="004437D3"/>
    <w:rsid w:val="004438FB"/>
    <w:rsid w:val="00444C2C"/>
    <w:rsid w:val="00444FCC"/>
    <w:rsid w:val="004453F8"/>
    <w:rsid w:val="004456B1"/>
    <w:rsid w:val="00445C3E"/>
    <w:rsid w:val="00446610"/>
    <w:rsid w:val="00446CEC"/>
    <w:rsid w:val="00450923"/>
    <w:rsid w:val="004517B4"/>
    <w:rsid w:val="00451F48"/>
    <w:rsid w:val="00452C2D"/>
    <w:rsid w:val="00457B9A"/>
    <w:rsid w:val="0046005C"/>
    <w:rsid w:val="0046076A"/>
    <w:rsid w:val="00460D6D"/>
    <w:rsid w:val="0046168F"/>
    <w:rsid w:val="0046184B"/>
    <w:rsid w:val="00461E33"/>
    <w:rsid w:val="0046219A"/>
    <w:rsid w:val="004662D7"/>
    <w:rsid w:val="00474E8A"/>
    <w:rsid w:val="004756C8"/>
    <w:rsid w:val="0047576A"/>
    <w:rsid w:val="00475993"/>
    <w:rsid w:val="00476D1B"/>
    <w:rsid w:val="00480786"/>
    <w:rsid w:val="00481F7C"/>
    <w:rsid w:val="00482DAE"/>
    <w:rsid w:val="00482F28"/>
    <w:rsid w:val="00484BD9"/>
    <w:rsid w:val="00484C68"/>
    <w:rsid w:val="00484F49"/>
    <w:rsid w:val="00486438"/>
    <w:rsid w:val="0049056C"/>
    <w:rsid w:val="004909BA"/>
    <w:rsid w:val="00491610"/>
    <w:rsid w:val="00491990"/>
    <w:rsid w:val="00491E0B"/>
    <w:rsid w:val="004949CC"/>
    <w:rsid w:val="00494FB9"/>
    <w:rsid w:val="00495896"/>
    <w:rsid w:val="00495B81"/>
    <w:rsid w:val="0049755D"/>
    <w:rsid w:val="004A0C50"/>
    <w:rsid w:val="004A0F84"/>
    <w:rsid w:val="004A2AE7"/>
    <w:rsid w:val="004A2F3F"/>
    <w:rsid w:val="004A36EC"/>
    <w:rsid w:val="004A4713"/>
    <w:rsid w:val="004A4983"/>
    <w:rsid w:val="004A50AC"/>
    <w:rsid w:val="004A5A39"/>
    <w:rsid w:val="004A6526"/>
    <w:rsid w:val="004A657E"/>
    <w:rsid w:val="004A6917"/>
    <w:rsid w:val="004A7932"/>
    <w:rsid w:val="004A7D02"/>
    <w:rsid w:val="004B1362"/>
    <w:rsid w:val="004B2A0E"/>
    <w:rsid w:val="004B3319"/>
    <w:rsid w:val="004B3AC6"/>
    <w:rsid w:val="004B3F9C"/>
    <w:rsid w:val="004B4241"/>
    <w:rsid w:val="004B5FC3"/>
    <w:rsid w:val="004B73A2"/>
    <w:rsid w:val="004B7DED"/>
    <w:rsid w:val="004C065A"/>
    <w:rsid w:val="004C0CBD"/>
    <w:rsid w:val="004C0DE4"/>
    <w:rsid w:val="004C0DF3"/>
    <w:rsid w:val="004C1605"/>
    <w:rsid w:val="004C27E1"/>
    <w:rsid w:val="004C2804"/>
    <w:rsid w:val="004C4108"/>
    <w:rsid w:val="004C451F"/>
    <w:rsid w:val="004C46B0"/>
    <w:rsid w:val="004D09F6"/>
    <w:rsid w:val="004D206B"/>
    <w:rsid w:val="004D268A"/>
    <w:rsid w:val="004D2780"/>
    <w:rsid w:val="004D2BF2"/>
    <w:rsid w:val="004D3423"/>
    <w:rsid w:val="004D3956"/>
    <w:rsid w:val="004D3B4C"/>
    <w:rsid w:val="004D4EFE"/>
    <w:rsid w:val="004D5294"/>
    <w:rsid w:val="004D52C6"/>
    <w:rsid w:val="004D78BE"/>
    <w:rsid w:val="004E1292"/>
    <w:rsid w:val="004E15F9"/>
    <w:rsid w:val="004E19E6"/>
    <w:rsid w:val="004E2759"/>
    <w:rsid w:val="004E5720"/>
    <w:rsid w:val="004E587F"/>
    <w:rsid w:val="004E5898"/>
    <w:rsid w:val="004E69D3"/>
    <w:rsid w:val="004F15F4"/>
    <w:rsid w:val="004F36A4"/>
    <w:rsid w:val="004F3B19"/>
    <w:rsid w:val="004F45A2"/>
    <w:rsid w:val="004F5255"/>
    <w:rsid w:val="00501F58"/>
    <w:rsid w:val="005021AD"/>
    <w:rsid w:val="0050233F"/>
    <w:rsid w:val="005023DB"/>
    <w:rsid w:val="00502991"/>
    <w:rsid w:val="00502B81"/>
    <w:rsid w:val="00502F9C"/>
    <w:rsid w:val="00503B3A"/>
    <w:rsid w:val="00503C30"/>
    <w:rsid w:val="00504374"/>
    <w:rsid w:val="00505B65"/>
    <w:rsid w:val="00506A1D"/>
    <w:rsid w:val="00506F2A"/>
    <w:rsid w:val="00507B08"/>
    <w:rsid w:val="00507ED2"/>
    <w:rsid w:val="00507F47"/>
    <w:rsid w:val="0051015A"/>
    <w:rsid w:val="00511021"/>
    <w:rsid w:val="00514F63"/>
    <w:rsid w:val="00515475"/>
    <w:rsid w:val="0051568B"/>
    <w:rsid w:val="00515E9D"/>
    <w:rsid w:val="00516E41"/>
    <w:rsid w:val="005171A7"/>
    <w:rsid w:val="00520CC0"/>
    <w:rsid w:val="0052151A"/>
    <w:rsid w:val="005231B9"/>
    <w:rsid w:val="005241C5"/>
    <w:rsid w:val="00524397"/>
    <w:rsid w:val="005245B2"/>
    <w:rsid w:val="00524D75"/>
    <w:rsid w:val="00525DF1"/>
    <w:rsid w:val="00527353"/>
    <w:rsid w:val="005276FF"/>
    <w:rsid w:val="005307EA"/>
    <w:rsid w:val="00530ABC"/>
    <w:rsid w:val="00531141"/>
    <w:rsid w:val="00531262"/>
    <w:rsid w:val="00533210"/>
    <w:rsid w:val="00533E5B"/>
    <w:rsid w:val="005344F5"/>
    <w:rsid w:val="00534CC4"/>
    <w:rsid w:val="00535C17"/>
    <w:rsid w:val="00536051"/>
    <w:rsid w:val="00536A1B"/>
    <w:rsid w:val="0054008C"/>
    <w:rsid w:val="00540249"/>
    <w:rsid w:val="00540A0D"/>
    <w:rsid w:val="00541556"/>
    <w:rsid w:val="00541D93"/>
    <w:rsid w:val="005426A3"/>
    <w:rsid w:val="005439DC"/>
    <w:rsid w:val="00543DD8"/>
    <w:rsid w:val="00544D83"/>
    <w:rsid w:val="00545209"/>
    <w:rsid w:val="0054674C"/>
    <w:rsid w:val="00546D45"/>
    <w:rsid w:val="00547047"/>
    <w:rsid w:val="005478D7"/>
    <w:rsid w:val="0055030B"/>
    <w:rsid w:val="00551B52"/>
    <w:rsid w:val="00554964"/>
    <w:rsid w:val="00555A24"/>
    <w:rsid w:val="005568FD"/>
    <w:rsid w:val="00557377"/>
    <w:rsid w:val="00557E3B"/>
    <w:rsid w:val="005612CD"/>
    <w:rsid w:val="0056346A"/>
    <w:rsid w:val="005644A1"/>
    <w:rsid w:val="00564887"/>
    <w:rsid w:val="00566177"/>
    <w:rsid w:val="00566A4D"/>
    <w:rsid w:val="005674BC"/>
    <w:rsid w:val="00574397"/>
    <w:rsid w:val="00575259"/>
    <w:rsid w:val="00575C0D"/>
    <w:rsid w:val="00576755"/>
    <w:rsid w:val="00577E45"/>
    <w:rsid w:val="00577F55"/>
    <w:rsid w:val="00580213"/>
    <w:rsid w:val="005818E4"/>
    <w:rsid w:val="005823AD"/>
    <w:rsid w:val="005825D7"/>
    <w:rsid w:val="00583317"/>
    <w:rsid w:val="00583927"/>
    <w:rsid w:val="00583E28"/>
    <w:rsid w:val="0059178B"/>
    <w:rsid w:val="00591D4D"/>
    <w:rsid w:val="0059248F"/>
    <w:rsid w:val="0059303C"/>
    <w:rsid w:val="0059319D"/>
    <w:rsid w:val="00593950"/>
    <w:rsid w:val="00594AC3"/>
    <w:rsid w:val="00595132"/>
    <w:rsid w:val="00596213"/>
    <w:rsid w:val="005A1B98"/>
    <w:rsid w:val="005A236D"/>
    <w:rsid w:val="005A2373"/>
    <w:rsid w:val="005A322C"/>
    <w:rsid w:val="005A4874"/>
    <w:rsid w:val="005A4B96"/>
    <w:rsid w:val="005A51EF"/>
    <w:rsid w:val="005A6B62"/>
    <w:rsid w:val="005A745B"/>
    <w:rsid w:val="005A753C"/>
    <w:rsid w:val="005A7833"/>
    <w:rsid w:val="005B0767"/>
    <w:rsid w:val="005B09FD"/>
    <w:rsid w:val="005B2F2B"/>
    <w:rsid w:val="005B3914"/>
    <w:rsid w:val="005B39E8"/>
    <w:rsid w:val="005B43D9"/>
    <w:rsid w:val="005B4F37"/>
    <w:rsid w:val="005B5836"/>
    <w:rsid w:val="005B58B8"/>
    <w:rsid w:val="005B5CD1"/>
    <w:rsid w:val="005B62A3"/>
    <w:rsid w:val="005B65A6"/>
    <w:rsid w:val="005B676E"/>
    <w:rsid w:val="005C01E5"/>
    <w:rsid w:val="005C0867"/>
    <w:rsid w:val="005C2378"/>
    <w:rsid w:val="005C366D"/>
    <w:rsid w:val="005C4C1C"/>
    <w:rsid w:val="005C6046"/>
    <w:rsid w:val="005C61AF"/>
    <w:rsid w:val="005C6B7D"/>
    <w:rsid w:val="005C7E47"/>
    <w:rsid w:val="005C7EF7"/>
    <w:rsid w:val="005D044F"/>
    <w:rsid w:val="005D1223"/>
    <w:rsid w:val="005D180D"/>
    <w:rsid w:val="005D1FE5"/>
    <w:rsid w:val="005D2F4D"/>
    <w:rsid w:val="005D3129"/>
    <w:rsid w:val="005D3474"/>
    <w:rsid w:val="005D4F1E"/>
    <w:rsid w:val="005D5710"/>
    <w:rsid w:val="005D6CC6"/>
    <w:rsid w:val="005D7087"/>
    <w:rsid w:val="005D72AB"/>
    <w:rsid w:val="005D7C51"/>
    <w:rsid w:val="005E2165"/>
    <w:rsid w:val="005E233F"/>
    <w:rsid w:val="005E2E87"/>
    <w:rsid w:val="005E562E"/>
    <w:rsid w:val="005E5B4A"/>
    <w:rsid w:val="005E5C61"/>
    <w:rsid w:val="005E7127"/>
    <w:rsid w:val="005E774E"/>
    <w:rsid w:val="005F2B6E"/>
    <w:rsid w:val="005F38D5"/>
    <w:rsid w:val="005F43DA"/>
    <w:rsid w:val="005F4A1A"/>
    <w:rsid w:val="005F5E8B"/>
    <w:rsid w:val="005F6650"/>
    <w:rsid w:val="005F7E47"/>
    <w:rsid w:val="005F7F27"/>
    <w:rsid w:val="006003A2"/>
    <w:rsid w:val="00600CC7"/>
    <w:rsid w:val="00600D97"/>
    <w:rsid w:val="00602235"/>
    <w:rsid w:val="0060308F"/>
    <w:rsid w:val="00604B97"/>
    <w:rsid w:val="0060665F"/>
    <w:rsid w:val="0060715A"/>
    <w:rsid w:val="00610248"/>
    <w:rsid w:val="0061198E"/>
    <w:rsid w:val="006128A6"/>
    <w:rsid w:val="006134A2"/>
    <w:rsid w:val="00614260"/>
    <w:rsid w:val="0061493B"/>
    <w:rsid w:val="006172B8"/>
    <w:rsid w:val="00620431"/>
    <w:rsid w:val="006260F3"/>
    <w:rsid w:val="0062621B"/>
    <w:rsid w:val="00630BC4"/>
    <w:rsid w:val="00631292"/>
    <w:rsid w:val="006315A8"/>
    <w:rsid w:val="006371DF"/>
    <w:rsid w:val="006417D8"/>
    <w:rsid w:val="00643282"/>
    <w:rsid w:val="00644341"/>
    <w:rsid w:val="0064470F"/>
    <w:rsid w:val="0064698E"/>
    <w:rsid w:val="00647E85"/>
    <w:rsid w:val="006547F5"/>
    <w:rsid w:val="0065573D"/>
    <w:rsid w:val="006576A2"/>
    <w:rsid w:val="006624A6"/>
    <w:rsid w:val="006633C9"/>
    <w:rsid w:val="006636E2"/>
    <w:rsid w:val="006653C7"/>
    <w:rsid w:val="0066608F"/>
    <w:rsid w:val="00667ED3"/>
    <w:rsid w:val="006702BC"/>
    <w:rsid w:val="00672E8C"/>
    <w:rsid w:val="00674380"/>
    <w:rsid w:val="00674C27"/>
    <w:rsid w:val="00675052"/>
    <w:rsid w:val="00675058"/>
    <w:rsid w:val="0067555F"/>
    <w:rsid w:val="006756B3"/>
    <w:rsid w:val="00676121"/>
    <w:rsid w:val="00676BE7"/>
    <w:rsid w:val="006775DE"/>
    <w:rsid w:val="00677684"/>
    <w:rsid w:val="00681B75"/>
    <w:rsid w:val="006826F6"/>
    <w:rsid w:val="00684C21"/>
    <w:rsid w:val="00686A28"/>
    <w:rsid w:val="006874BF"/>
    <w:rsid w:val="00687597"/>
    <w:rsid w:val="006877D4"/>
    <w:rsid w:val="0069038D"/>
    <w:rsid w:val="00690A8A"/>
    <w:rsid w:val="0069144D"/>
    <w:rsid w:val="00693CDA"/>
    <w:rsid w:val="00695AB1"/>
    <w:rsid w:val="00697DEF"/>
    <w:rsid w:val="006A2003"/>
    <w:rsid w:val="006A21A2"/>
    <w:rsid w:val="006A22BD"/>
    <w:rsid w:val="006A27BF"/>
    <w:rsid w:val="006A33DB"/>
    <w:rsid w:val="006A4D28"/>
    <w:rsid w:val="006A5222"/>
    <w:rsid w:val="006B0FC0"/>
    <w:rsid w:val="006B142E"/>
    <w:rsid w:val="006B14D9"/>
    <w:rsid w:val="006B1907"/>
    <w:rsid w:val="006B1A69"/>
    <w:rsid w:val="006B39E3"/>
    <w:rsid w:val="006B442E"/>
    <w:rsid w:val="006B5188"/>
    <w:rsid w:val="006B6100"/>
    <w:rsid w:val="006C0310"/>
    <w:rsid w:val="006C0814"/>
    <w:rsid w:val="006C0CBD"/>
    <w:rsid w:val="006C1911"/>
    <w:rsid w:val="006C2DF5"/>
    <w:rsid w:val="006C34AC"/>
    <w:rsid w:val="006C6300"/>
    <w:rsid w:val="006C63D0"/>
    <w:rsid w:val="006D007A"/>
    <w:rsid w:val="006D0143"/>
    <w:rsid w:val="006D1097"/>
    <w:rsid w:val="006D1FC6"/>
    <w:rsid w:val="006D2EBC"/>
    <w:rsid w:val="006D410D"/>
    <w:rsid w:val="006D43A6"/>
    <w:rsid w:val="006D7CA3"/>
    <w:rsid w:val="006E03A1"/>
    <w:rsid w:val="006E1B84"/>
    <w:rsid w:val="006E2C04"/>
    <w:rsid w:val="006E2DBB"/>
    <w:rsid w:val="006E2F46"/>
    <w:rsid w:val="006E30F0"/>
    <w:rsid w:val="006E48D3"/>
    <w:rsid w:val="006E63AF"/>
    <w:rsid w:val="006E6A5C"/>
    <w:rsid w:val="006E74AC"/>
    <w:rsid w:val="006E76BA"/>
    <w:rsid w:val="006F054A"/>
    <w:rsid w:val="006F12F7"/>
    <w:rsid w:val="006F14B1"/>
    <w:rsid w:val="006F1AA6"/>
    <w:rsid w:val="006F4090"/>
    <w:rsid w:val="006F6113"/>
    <w:rsid w:val="006F6392"/>
    <w:rsid w:val="006F6401"/>
    <w:rsid w:val="006F66CA"/>
    <w:rsid w:val="006F7870"/>
    <w:rsid w:val="006F7DAF"/>
    <w:rsid w:val="00700264"/>
    <w:rsid w:val="00700AC1"/>
    <w:rsid w:val="007012B2"/>
    <w:rsid w:val="0070149B"/>
    <w:rsid w:val="007021C9"/>
    <w:rsid w:val="007026AE"/>
    <w:rsid w:val="00703058"/>
    <w:rsid w:val="007038A3"/>
    <w:rsid w:val="00703FFC"/>
    <w:rsid w:val="00704716"/>
    <w:rsid w:val="007050EE"/>
    <w:rsid w:val="00706033"/>
    <w:rsid w:val="00707B6E"/>
    <w:rsid w:val="00710A5C"/>
    <w:rsid w:val="007125ED"/>
    <w:rsid w:val="00712D00"/>
    <w:rsid w:val="00713473"/>
    <w:rsid w:val="00713D5C"/>
    <w:rsid w:val="00713F77"/>
    <w:rsid w:val="0071559E"/>
    <w:rsid w:val="00722CEE"/>
    <w:rsid w:val="00722D7F"/>
    <w:rsid w:val="00723C45"/>
    <w:rsid w:val="007247EC"/>
    <w:rsid w:val="007249B7"/>
    <w:rsid w:val="00724C1B"/>
    <w:rsid w:val="00725DC3"/>
    <w:rsid w:val="007261B5"/>
    <w:rsid w:val="00726660"/>
    <w:rsid w:val="00727C8C"/>
    <w:rsid w:val="00727EFE"/>
    <w:rsid w:val="007308AA"/>
    <w:rsid w:val="00733E3B"/>
    <w:rsid w:val="00734502"/>
    <w:rsid w:val="00734947"/>
    <w:rsid w:val="00734A47"/>
    <w:rsid w:val="00740553"/>
    <w:rsid w:val="0074083D"/>
    <w:rsid w:val="007410EE"/>
    <w:rsid w:val="00741484"/>
    <w:rsid w:val="00741D04"/>
    <w:rsid w:val="0074373D"/>
    <w:rsid w:val="007444BE"/>
    <w:rsid w:val="0074466A"/>
    <w:rsid w:val="00744974"/>
    <w:rsid w:val="00745989"/>
    <w:rsid w:val="00745CEA"/>
    <w:rsid w:val="007461F0"/>
    <w:rsid w:val="007470CF"/>
    <w:rsid w:val="00747D7F"/>
    <w:rsid w:val="00747EDF"/>
    <w:rsid w:val="00747F4B"/>
    <w:rsid w:val="00750E34"/>
    <w:rsid w:val="007517F7"/>
    <w:rsid w:val="007518C3"/>
    <w:rsid w:val="00752357"/>
    <w:rsid w:val="00752943"/>
    <w:rsid w:val="00752BE1"/>
    <w:rsid w:val="00753D01"/>
    <w:rsid w:val="0075415C"/>
    <w:rsid w:val="00754B49"/>
    <w:rsid w:val="00754C13"/>
    <w:rsid w:val="0075556C"/>
    <w:rsid w:val="00755905"/>
    <w:rsid w:val="007559F5"/>
    <w:rsid w:val="00755DA3"/>
    <w:rsid w:val="00756305"/>
    <w:rsid w:val="00760AD8"/>
    <w:rsid w:val="0076467D"/>
    <w:rsid w:val="007707EB"/>
    <w:rsid w:val="00770988"/>
    <w:rsid w:val="00772D31"/>
    <w:rsid w:val="007730C0"/>
    <w:rsid w:val="00773619"/>
    <w:rsid w:val="00774EC4"/>
    <w:rsid w:val="0077555D"/>
    <w:rsid w:val="00775B65"/>
    <w:rsid w:val="00775DF2"/>
    <w:rsid w:val="007764FF"/>
    <w:rsid w:val="00777717"/>
    <w:rsid w:val="007816EB"/>
    <w:rsid w:val="00784184"/>
    <w:rsid w:val="00786262"/>
    <w:rsid w:val="00790ED7"/>
    <w:rsid w:val="0079188C"/>
    <w:rsid w:val="0079482D"/>
    <w:rsid w:val="0079543B"/>
    <w:rsid w:val="0079692F"/>
    <w:rsid w:val="00796BF7"/>
    <w:rsid w:val="00797510"/>
    <w:rsid w:val="00797AE4"/>
    <w:rsid w:val="00797BD4"/>
    <w:rsid w:val="007A0D6C"/>
    <w:rsid w:val="007A13C3"/>
    <w:rsid w:val="007A1748"/>
    <w:rsid w:val="007A246E"/>
    <w:rsid w:val="007A27E5"/>
    <w:rsid w:val="007A3B7F"/>
    <w:rsid w:val="007A3FAE"/>
    <w:rsid w:val="007A4B52"/>
    <w:rsid w:val="007A5301"/>
    <w:rsid w:val="007A590A"/>
    <w:rsid w:val="007A6C51"/>
    <w:rsid w:val="007A762D"/>
    <w:rsid w:val="007A7AAF"/>
    <w:rsid w:val="007B0991"/>
    <w:rsid w:val="007B158F"/>
    <w:rsid w:val="007B2E26"/>
    <w:rsid w:val="007B39A2"/>
    <w:rsid w:val="007B3D4C"/>
    <w:rsid w:val="007B4F3B"/>
    <w:rsid w:val="007B5A56"/>
    <w:rsid w:val="007B7177"/>
    <w:rsid w:val="007B7625"/>
    <w:rsid w:val="007B788B"/>
    <w:rsid w:val="007C6CA5"/>
    <w:rsid w:val="007D00F9"/>
    <w:rsid w:val="007D06AB"/>
    <w:rsid w:val="007D28B1"/>
    <w:rsid w:val="007D2BFC"/>
    <w:rsid w:val="007D3922"/>
    <w:rsid w:val="007D4E0E"/>
    <w:rsid w:val="007D57EB"/>
    <w:rsid w:val="007D5DE8"/>
    <w:rsid w:val="007D772D"/>
    <w:rsid w:val="007D7C98"/>
    <w:rsid w:val="007E098F"/>
    <w:rsid w:val="007E0B54"/>
    <w:rsid w:val="007E0E02"/>
    <w:rsid w:val="007E2862"/>
    <w:rsid w:val="007E28A8"/>
    <w:rsid w:val="007E2989"/>
    <w:rsid w:val="007E2C26"/>
    <w:rsid w:val="007E47E5"/>
    <w:rsid w:val="007E526B"/>
    <w:rsid w:val="007E52F4"/>
    <w:rsid w:val="007E5CAA"/>
    <w:rsid w:val="007E6716"/>
    <w:rsid w:val="007E739D"/>
    <w:rsid w:val="007E7944"/>
    <w:rsid w:val="007E7988"/>
    <w:rsid w:val="007E7FE6"/>
    <w:rsid w:val="007F1E34"/>
    <w:rsid w:val="007F24FE"/>
    <w:rsid w:val="007F2A5D"/>
    <w:rsid w:val="007F4031"/>
    <w:rsid w:val="007F410A"/>
    <w:rsid w:val="007F46D3"/>
    <w:rsid w:val="007F4813"/>
    <w:rsid w:val="007F5006"/>
    <w:rsid w:val="007F6506"/>
    <w:rsid w:val="008004C9"/>
    <w:rsid w:val="00800D7F"/>
    <w:rsid w:val="00801030"/>
    <w:rsid w:val="00801831"/>
    <w:rsid w:val="00802CED"/>
    <w:rsid w:val="008032F2"/>
    <w:rsid w:val="008037F1"/>
    <w:rsid w:val="00804B05"/>
    <w:rsid w:val="00804B4A"/>
    <w:rsid w:val="00804FA6"/>
    <w:rsid w:val="00805F75"/>
    <w:rsid w:val="00806063"/>
    <w:rsid w:val="008062FB"/>
    <w:rsid w:val="00806DEA"/>
    <w:rsid w:val="0080778B"/>
    <w:rsid w:val="00807D2A"/>
    <w:rsid w:val="00810A9B"/>
    <w:rsid w:val="00810AE0"/>
    <w:rsid w:val="0081116E"/>
    <w:rsid w:val="00812878"/>
    <w:rsid w:val="00813AEC"/>
    <w:rsid w:val="00815CB9"/>
    <w:rsid w:val="0081757C"/>
    <w:rsid w:val="008220A0"/>
    <w:rsid w:val="00822E37"/>
    <w:rsid w:val="0082300D"/>
    <w:rsid w:val="00823291"/>
    <w:rsid w:val="00826AE0"/>
    <w:rsid w:val="00826C59"/>
    <w:rsid w:val="00827417"/>
    <w:rsid w:val="00831707"/>
    <w:rsid w:val="008325FF"/>
    <w:rsid w:val="00832AA2"/>
    <w:rsid w:val="00833320"/>
    <w:rsid w:val="0083361E"/>
    <w:rsid w:val="00833E6C"/>
    <w:rsid w:val="0083406D"/>
    <w:rsid w:val="00835ED3"/>
    <w:rsid w:val="0083746A"/>
    <w:rsid w:val="00840AF9"/>
    <w:rsid w:val="0084187E"/>
    <w:rsid w:val="008425D2"/>
    <w:rsid w:val="00843137"/>
    <w:rsid w:val="00844370"/>
    <w:rsid w:val="008450D4"/>
    <w:rsid w:val="008450FD"/>
    <w:rsid w:val="00845C5C"/>
    <w:rsid w:val="0084632E"/>
    <w:rsid w:val="00846829"/>
    <w:rsid w:val="008502B5"/>
    <w:rsid w:val="0085279F"/>
    <w:rsid w:val="00852F47"/>
    <w:rsid w:val="00855072"/>
    <w:rsid w:val="0085518F"/>
    <w:rsid w:val="008551C7"/>
    <w:rsid w:val="0086040B"/>
    <w:rsid w:val="008605B9"/>
    <w:rsid w:val="00861461"/>
    <w:rsid w:val="00862829"/>
    <w:rsid w:val="00863474"/>
    <w:rsid w:val="0086389A"/>
    <w:rsid w:val="008647AC"/>
    <w:rsid w:val="008654DE"/>
    <w:rsid w:val="00865EB7"/>
    <w:rsid w:val="00867393"/>
    <w:rsid w:val="008676C2"/>
    <w:rsid w:val="008678C1"/>
    <w:rsid w:val="00872790"/>
    <w:rsid w:val="00872EA0"/>
    <w:rsid w:val="0087321B"/>
    <w:rsid w:val="0087353A"/>
    <w:rsid w:val="00874E71"/>
    <w:rsid w:val="00876AF1"/>
    <w:rsid w:val="0087733A"/>
    <w:rsid w:val="00877854"/>
    <w:rsid w:val="008814F8"/>
    <w:rsid w:val="00882886"/>
    <w:rsid w:val="008835CC"/>
    <w:rsid w:val="00883C7C"/>
    <w:rsid w:val="00885531"/>
    <w:rsid w:val="00885E92"/>
    <w:rsid w:val="00886A4D"/>
    <w:rsid w:val="00886DB4"/>
    <w:rsid w:val="00886F47"/>
    <w:rsid w:val="00887124"/>
    <w:rsid w:val="008924F6"/>
    <w:rsid w:val="00893560"/>
    <w:rsid w:val="00894713"/>
    <w:rsid w:val="00895F6B"/>
    <w:rsid w:val="0089660F"/>
    <w:rsid w:val="008A1856"/>
    <w:rsid w:val="008A192A"/>
    <w:rsid w:val="008A275F"/>
    <w:rsid w:val="008A5324"/>
    <w:rsid w:val="008A5B31"/>
    <w:rsid w:val="008A5D43"/>
    <w:rsid w:val="008B0FE1"/>
    <w:rsid w:val="008B401E"/>
    <w:rsid w:val="008B4611"/>
    <w:rsid w:val="008B522A"/>
    <w:rsid w:val="008B5944"/>
    <w:rsid w:val="008B763E"/>
    <w:rsid w:val="008C0901"/>
    <w:rsid w:val="008C0CB5"/>
    <w:rsid w:val="008C1191"/>
    <w:rsid w:val="008C334D"/>
    <w:rsid w:val="008C40AC"/>
    <w:rsid w:val="008C4EF9"/>
    <w:rsid w:val="008C5D70"/>
    <w:rsid w:val="008C706A"/>
    <w:rsid w:val="008C70FC"/>
    <w:rsid w:val="008C7F39"/>
    <w:rsid w:val="008D063B"/>
    <w:rsid w:val="008D3502"/>
    <w:rsid w:val="008D3BEF"/>
    <w:rsid w:val="008D49BC"/>
    <w:rsid w:val="008E32FA"/>
    <w:rsid w:val="008E6557"/>
    <w:rsid w:val="008E732D"/>
    <w:rsid w:val="008E7A87"/>
    <w:rsid w:val="008F03A4"/>
    <w:rsid w:val="008F1381"/>
    <w:rsid w:val="008F2134"/>
    <w:rsid w:val="008F27F7"/>
    <w:rsid w:val="008F2D20"/>
    <w:rsid w:val="008F4CDA"/>
    <w:rsid w:val="008F547E"/>
    <w:rsid w:val="008F7E43"/>
    <w:rsid w:val="00900AE5"/>
    <w:rsid w:val="00900F0C"/>
    <w:rsid w:val="00900F4F"/>
    <w:rsid w:val="00901051"/>
    <w:rsid w:val="00902765"/>
    <w:rsid w:val="00902DC6"/>
    <w:rsid w:val="00904AF6"/>
    <w:rsid w:val="00905E6A"/>
    <w:rsid w:val="00906ED5"/>
    <w:rsid w:val="0091084C"/>
    <w:rsid w:val="00911313"/>
    <w:rsid w:val="0091159F"/>
    <w:rsid w:val="00913463"/>
    <w:rsid w:val="0091376F"/>
    <w:rsid w:val="00914E06"/>
    <w:rsid w:val="009163C9"/>
    <w:rsid w:val="0091704A"/>
    <w:rsid w:val="00917D43"/>
    <w:rsid w:val="00920493"/>
    <w:rsid w:val="009205BB"/>
    <w:rsid w:val="009206FF"/>
    <w:rsid w:val="00920EE6"/>
    <w:rsid w:val="009216CE"/>
    <w:rsid w:val="00924964"/>
    <w:rsid w:val="009259DA"/>
    <w:rsid w:val="00925FF7"/>
    <w:rsid w:val="00926C7F"/>
    <w:rsid w:val="00927246"/>
    <w:rsid w:val="00930685"/>
    <w:rsid w:val="009314B2"/>
    <w:rsid w:val="00931A49"/>
    <w:rsid w:val="00932410"/>
    <w:rsid w:val="00933115"/>
    <w:rsid w:val="00933830"/>
    <w:rsid w:val="0093445E"/>
    <w:rsid w:val="009348B1"/>
    <w:rsid w:val="009364EC"/>
    <w:rsid w:val="00937518"/>
    <w:rsid w:val="00940F79"/>
    <w:rsid w:val="009416A8"/>
    <w:rsid w:val="00941BF9"/>
    <w:rsid w:val="00941EB3"/>
    <w:rsid w:val="00943612"/>
    <w:rsid w:val="0094566A"/>
    <w:rsid w:val="00945DDB"/>
    <w:rsid w:val="009461F5"/>
    <w:rsid w:val="00946402"/>
    <w:rsid w:val="00946D29"/>
    <w:rsid w:val="009503E9"/>
    <w:rsid w:val="00951FD3"/>
    <w:rsid w:val="00952563"/>
    <w:rsid w:val="00953ADF"/>
    <w:rsid w:val="00954B4F"/>
    <w:rsid w:val="00955021"/>
    <w:rsid w:val="009604A7"/>
    <w:rsid w:val="00962640"/>
    <w:rsid w:val="00962B4C"/>
    <w:rsid w:val="00962BDA"/>
    <w:rsid w:val="0096308E"/>
    <w:rsid w:val="0096313D"/>
    <w:rsid w:val="00963439"/>
    <w:rsid w:val="00963764"/>
    <w:rsid w:val="00964255"/>
    <w:rsid w:val="009642AE"/>
    <w:rsid w:val="00964377"/>
    <w:rsid w:val="009644A5"/>
    <w:rsid w:val="0096547E"/>
    <w:rsid w:val="00965655"/>
    <w:rsid w:val="00966B36"/>
    <w:rsid w:val="00966C24"/>
    <w:rsid w:val="00970A7B"/>
    <w:rsid w:val="0097140D"/>
    <w:rsid w:val="00971A99"/>
    <w:rsid w:val="0097288C"/>
    <w:rsid w:val="009748DC"/>
    <w:rsid w:val="00975178"/>
    <w:rsid w:val="00976280"/>
    <w:rsid w:val="00976438"/>
    <w:rsid w:val="009768C2"/>
    <w:rsid w:val="00977893"/>
    <w:rsid w:val="00980C37"/>
    <w:rsid w:val="00981C38"/>
    <w:rsid w:val="009830F6"/>
    <w:rsid w:val="00983339"/>
    <w:rsid w:val="00984D82"/>
    <w:rsid w:val="00984E76"/>
    <w:rsid w:val="0098613C"/>
    <w:rsid w:val="009904E3"/>
    <w:rsid w:val="00991A52"/>
    <w:rsid w:val="00991E19"/>
    <w:rsid w:val="00991E8C"/>
    <w:rsid w:val="00992C1A"/>
    <w:rsid w:val="00993439"/>
    <w:rsid w:val="009939BA"/>
    <w:rsid w:val="0099569D"/>
    <w:rsid w:val="00996EE6"/>
    <w:rsid w:val="00997D0E"/>
    <w:rsid w:val="009A09F8"/>
    <w:rsid w:val="009A1628"/>
    <w:rsid w:val="009A1DFF"/>
    <w:rsid w:val="009A71C9"/>
    <w:rsid w:val="009A7C1F"/>
    <w:rsid w:val="009B003A"/>
    <w:rsid w:val="009B0396"/>
    <w:rsid w:val="009B07B2"/>
    <w:rsid w:val="009B1521"/>
    <w:rsid w:val="009B1C91"/>
    <w:rsid w:val="009B2B96"/>
    <w:rsid w:val="009B4059"/>
    <w:rsid w:val="009B705E"/>
    <w:rsid w:val="009C03C6"/>
    <w:rsid w:val="009C1094"/>
    <w:rsid w:val="009C1537"/>
    <w:rsid w:val="009C194C"/>
    <w:rsid w:val="009C1A6D"/>
    <w:rsid w:val="009C2264"/>
    <w:rsid w:val="009C26F3"/>
    <w:rsid w:val="009C4460"/>
    <w:rsid w:val="009C69FD"/>
    <w:rsid w:val="009C7BF5"/>
    <w:rsid w:val="009C7EAA"/>
    <w:rsid w:val="009D1F4F"/>
    <w:rsid w:val="009D2241"/>
    <w:rsid w:val="009D2281"/>
    <w:rsid w:val="009D2942"/>
    <w:rsid w:val="009D3193"/>
    <w:rsid w:val="009D32EF"/>
    <w:rsid w:val="009D4248"/>
    <w:rsid w:val="009D469D"/>
    <w:rsid w:val="009D5A57"/>
    <w:rsid w:val="009E203C"/>
    <w:rsid w:val="009E2387"/>
    <w:rsid w:val="009E2BC8"/>
    <w:rsid w:val="009E37B8"/>
    <w:rsid w:val="009E4B1B"/>
    <w:rsid w:val="009E52D1"/>
    <w:rsid w:val="009E7AF0"/>
    <w:rsid w:val="009F07DB"/>
    <w:rsid w:val="009F205E"/>
    <w:rsid w:val="009F2AC9"/>
    <w:rsid w:val="009F2CD8"/>
    <w:rsid w:val="009F4988"/>
    <w:rsid w:val="009F4EE8"/>
    <w:rsid w:val="009F528F"/>
    <w:rsid w:val="009F5345"/>
    <w:rsid w:val="009F6EF4"/>
    <w:rsid w:val="009F7FEE"/>
    <w:rsid w:val="00A01511"/>
    <w:rsid w:val="00A01E65"/>
    <w:rsid w:val="00A02238"/>
    <w:rsid w:val="00A029EA"/>
    <w:rsid w:val="00A031ED"/>
    <w:rsid w:val="00A04150"/>
    <w:rsid w:val="00A04482"/>
    <w:rsid w:val="00A049B5"/>
    <w:rsid w:val="00A04D37"/>
    <w:rsid w:val="00A07A1A"/>
    <w:rsid w:val="00A1368E"/>
    <w:rsid w:val="00A139FE"/>
    <w:rsid w:val="00A15185"/>
    <w:rsid w:val="00A1579A"/>
    <w:rsid w:val="00A15DBC"/>
    <w:rsid w:val="00A16335"/>
    <w:rsid w:val="00A173AC"/>
    <w:rsid w:val="00A20108"/>
    <w:rsid w:val="00A2049D"/>
    <w:rsid w:val="00A208F0"/>
    <w:rsid w:val="00A2093A"/>
    <w:rsid w:val="00A21007"/>
    <w:rsid w:val="00A218B6"/>
    <w:rsid w:val="00A22DD7"/>
    <w:rsid w:val="00A23D09"/>
    <w:rsid w:val="00A23DBE"/>
    <w:rsid w:val="00A24185"/>
    <w:rsid w:val="00A2462D"/>
    <w:rsid w:val="00A26D92"/>
    <w:rsid w:val="00A2732C"/>
    <w:rsid w:val="00A307BC"/>
    <w:rsid w:val="00A30E87"/>
    <w:rsid w:val="00A3154D"/>
    <w:rsid w:val="00A323DC"/>
    <w:rsid w:val="00A3297F"/>
    <w:rsid w:val="00A3317C"/>
    <w:rsid w:val="00A33659"/>
    <w:rsid w:val="00A33E8C"/>
    <w:rsid w:val="00A34063"/>
    <w:rsid w:val="00A350D6"/>
    <w:rsid w:val="00A366EC"/>
    <w:rsid w:val="00A41B26"/>
    <w:rsid w:val="00A42DD8"/>
    <w:rsid w:val="00A43488"/>
    <w:rsid w:val="00A440BA"/>
    <w:rsid w:val="00A45531"/>
    <w:rsid w:val="00A45697"/>
    <w:rsid w:val="00A45743"/>
    <w:rsid w:val="00A45ECE"/>
    <w:rsid w:val="00A45FC7"/>
    <w:rsid w:val="00A47F6D"/>
    <w:rsid w:val="00A50A46"/>
    <w:rsid w:val="00A5145A"/>
    <w:rsid w:val="00A534AE"/>
    <w:rsid w:val="00A546D6"/>
    <w:rsid w:val="00A55557"/>
    <w:rsid w:val="00A55A54"/>
    <w:rsid w:val="00A5743E"/>
    <w:rsid w:val="00A6004E"/>
    <w:rsid w:val="00A60505"/>
    <w:rsid w:val="00A6120F"/>
    <w:rsid w:val="00A616B3"/>
    <w:rsid w:val="00A6243D"/>
    <w:rsid w:val="00A62FC8"/>
    <w:rsid w:val="00A6304A"/>
    <w:rsid w:val="00A631BA"/>
    <w:rsid w:val="00A63861"/>
    <w:rsid w:val="00A6407D"/>
    <w:rsid w:val="00A64655"/>
    <w:rsid w:val="00A646B8"/>
    <w:rsid w:val="00A64C2D"/>
    <w:rsid w:val="00A65F79"/>
    <w:rsid w:val="00A65F99"/>
    <w:rsid w:val="00A673FF"/>
    <w:rsid w:val="00A67F6E"/>
    <w:rsid w:val="00A71E97"/>
    <w:rsid w:val="00A754BC"/>
    <w:rsid w:val="00A75A0C"/>
    <w:rsid w:val="00A75F63"/>
    <w:rsid w:val="00A761D1"/>
    <w:rsid w:val="00A77B63"/>
    <w:rsid w:val="00A80772"/>
    <w:rsid w:val="00A80E09"/>
    <w:rsid w:val="00A8265D"/>
    <w:rsid w:val="00A82FEE"/>
    <w:rsid w:val="00A83DBE"/>
    <w:rsid w:val="00A83DF8"/>
    <w:rsid w:val="00A8439B"/>
    <w:rsid w:val="00A84CA9"/>
    <w:rsid w:val="00A8629F"/>
    <w:rsid w:val="00A86AB7"/>
    <w:rsid w:val="00A925B0"/>
    <w:rsid w:val="00A927C1"/>
    <w:rsid w:val="00A92B5A"/>
    <w:rsid w:val="00A94B76"/>
    <w:rsid w:val="00A9661E"/>
    <w:rsid w:val="00A96C49"/>
    <w:rsid w:val="00AA0A81"/>
    <w:rsid w:val="00AA11B9"/>
    <w:rsid w:val="00AA1A89"/>
    <w:rsid w:val="00AA2462"/>
    <w:rsid w:val="00AA33D4"/>
    <w:rsid w:val="00AA3FD9"/>
    <w:rsid w:val="00AA4426"/>
    <w:rsid w:val="00AA54E1"/>
    <w:rsid w:val="00AA56AB"/>
    <w:rsid w:val="00AA5922"/>
    <w:rsid w:val="00AA644A"/>
    <w:rsid w:val="00AA6EDA"/>
    <w:rsid w:val="00AA7AC2"/>
    <w:rsid w:val="00AA7B10"/>
    <w:rsid w:val="00AA7F6F"/>
    <w:rsid w:val="00AB1A90"/>
    <w:rsid w:val="00AB2B34"/>
    <w:rsid w:val="00AB360E"/>
    <w:rsid w:val="00AB38F1"/>
    <w:rsid w:val="00AB397D"/>
    <w:rsid w:val="00AB42B8"/>
    <w:rsid w:val="00AB4B21"/>
    <w:rsid w:val="00AB4BC8"/>
    <w:rsid w:val="00AB70BC"/>
    <w:rsid w:val="00AB7C76"/>
    <w:rsid w:val="00AC0C09"/>
    <w:rsid w:val="00AC10D3"/>
    <w:rsid w:val="00AC1321"/>
    <w:rsid w:val="00AC3AEF"/>
    <w:rsid w:val="00AC495C"/>
    <w:rsid w:val="00AC4D4F"/>
    <w:rsid w:val="00AC4DF1"/>
    <w:rsid w:val="00AC56B0"/>
    <w:rsid w:val="00AC58D1"/>
    <w:rsid w:val="00AC6907"/>
    <w:rsid w:val="00AC7EE9"/>
    <w:rsid w:val="00AD0665"/>
    <w:rsid w:val="00AD134D"/>
    <w:rsid w:val="00AD1F06"/>
    <w:rsid w:val="00AD2055"/>
    <w:rsid w:val="00AD4910"/>
    <w:rsid w:val="00AD5C05"/>
    <w:rsid w:val="00AD7811"/>
    <w:rsid w:val="00AE1377"/>
    <w:rsid w:val="00AE1F08"/>
    <w:rsid w:val="00AE2648"/>
    <w:rsid w:val="00AE29DF"/>
    <w:rsid w:val="00AE33F7"/>
    <w:rsid w:val="00AE38C0"/>
    <w:rsid w:val="00AE3CA1"/>
    <w:rsid w:val="00AE5002"/>
    <w:rsid w:val="00AE6492"/>
    <w:rsid w:val="00AF2207"/>
    <w:rsid w:val="00AF30C6"/>
    <w:rsid w:val="00AF3973"/>
    <w:rsid w:val="00AF3AE0"/>
    <w:rsid w:val="00AF3C76"/>
    <w:rsid w:val="00AF74A4"/>
    <w:rsid w:val="00B0264D"/>
    <w:rsid w:val="00B02F76"/>
    <w:rsid w:val="00B04B34"/>
    <w:rsid w:val="00B04D5C"/>
    <w:rsid w:val="00B05B45"/>
    <w:rsid w:val="00B0605D"/>
    <w:rsid w:val="00B0695C"/>
    <w:rsid w:val="00B07A2F"/>
    <w:rsid w:val="00B10618"/>
    <w:rsid w:val="00B11EBC"/>
    <w:rsid w:val="00B12B6B"/>
    <w:rsid w:val="00B13E8D"/>
    <w:rsid w:val="00B14C17"/>
    <w:rsid w:val="00B163A2"/>
    <w:rsid w:val="00B165B6"/>
    <w:rsid w:val="00B16F3D"/>
    <w:rsid w:val="00B1715F"/>
    <w:rsid w:val="00B177F9"/>
    <w:rsid w:val="00B1789B"/>
    <w:rsid w:val="00B21C60"/>
    <w:rsid w:val="00B21CD2"/>
    <w:rsid w:val="00B23577"/>
    <w:rsid w:val="00B26590"/>
    <w:rsid w:val="00B27286"/>
    <w:rsid w:val="00B318B7"/>
    <w:rsid w:val="00B320F7"/>
    <w:rsid w:val="00B33AC4"/>
    <w:rsid w:val="00B3587A"/>
    <w:rsid w:val="00B35EEB"/>
    <w:rsid w:val="00B36AD2"/>
    <w:rsid w:val="00B36B8C"/>
    <w:rsid w:val="00B40F51"/>
    <w:rsid w:val="00B42371"/>
    <w:rsid w:val="00B44EEF"/>
    <w:rsid w:val="00B47AE7"/>
    <w:rsid w:val="00B47C6F"/>
    <w:rsid w:val="00B47FC5"/>
    <w:rsid w:val="00B5070C"/>
    <w:rsid w:val="00B514E4"/>
    <w:rsid w:val="00B51FC1"/>
    <w:rsid w:val="00B54947"/>
    <w:rsid w:val="00B553BA"/>
    <w:rsid w:val="00B5593A"/>
    <w:rsid w:val="00B55B85"/>
    <w:rsid w:val="00B57F0E"/>
    <w:rsid w:val="00B602CC"/>
    <w:rsid w:val="00B6220A"/>
    <w:rsid w:val="00B62343"/>
    <w:rsid w:val="00B64D05"/>
    <w:rsid w:val="00B6567E"/>
    <w:rsid w:val="00B65E27"/>
    <w:rsid w:val="00B6742B"/>
    <w:rsid w:val="00B7418A"/>
    <w:rsid w:val="00B74685"/>
    <w:rsid w:val="00B7518B"/>
    <w:rsid w:val="00B76992"/>
    <w:rsid w:val="00B76A4B"/>
    <w:rsid w:val="00B77392"/>
    <w:rsid w:val="00B77B12"/>
    <w:rsid w:val="00B815FE"/>
    <w:rsid w:val="00B832B1"/>
    <w:rsid w:val="00B836FE"/>
    <w:rsid w:val="00B84363"/>
    <w:rsid w:val="00B87769"/>
    <w:rsid w:val="00B87BE3"/>
    <w:rsid w:val="00B87FB0"/>
    <w:rsid w:val="00B90E5D"/>
    <w:rsid w:val="00B91CF6"/>
    <w:rsid w:val="00B92807"/>
    <w:rsid w:val="00B92960"/>
    <w:rsid w:val="00B94CA0"/>
    <w:rsid w:val="00B95340"/>
    <w:rsid w:val="00B95B34"/>
    <w:rsid w:val="00B9697D"/>
    <w:rsid w:val="00BA1B9C"/>
    <w:rsid w:val="00BA2944"/>
    <w:rsid w:val="00BA2A93"/>
    <w:rsid w:val="00BA3788"/>
    <w:rsid w:val="00BA3959"/>
    <w:rsid w:val="00BA399F"/>
    <w:rsid w:val="00BA3B8E"/>
    <w:rsid w:val="00BA3C5A"/>
    <w:rsid w:val="00BA413A"/>
    <w:rsid w:val="00BA4490"/>
    <w:rsid w:val="00BA4EB9"/>
    <w:rsid w:val="00BA6392"/>
    <w:rsid w:val="00BA69F1"/>
    <w:rsid w:val="00BA6C6F"/>
    <w:rsid w:val="00BA71F0"/>
    <w:rsid w:val="00BA71F1"/>
    <w:rsid w:val="00BA7F3C"/>
    <w:rsid w:val="00BB008A"/>
    <w:rsid w:val="00BB2D04"/>
    <w:rsid w:val="00BB2EF3"/>
    <w:rsid w:val="00BB3A4B"/>
    <w:rsid w:val="00BB52E6"/>
    <w:rsid w:val="00BB5E29"/>
    <w:rsid w:val="00BB6445"/>
    <w:rsid w:val="00BB6A7A"/>
    <w:rsid w:val="00BB7250"/>
    <w:rsid w:val="00BB74A7"/>
    <w:rsid w:val="00BB7FED"/>
    <w:rsid w:val="00BC029F"/>
    <w:rsid w:val="00BC0FE9"/>
    <w:rsid w:val="00BC219D"/>
    <w:rsid w:val="00BC592E"/>
    <w:rsid w:val="00BC69CE"/>
    <w:rsid w:val="00BC6AD6"/>
    <w:rsid w:val="00BC6D41"/>
    <w:rsid w:val="00BC7EA5"/>
    <w:rsid w:val="00BD0B92"/>
    <w:rsid w:val="00BD32B4"/>
    <w:rsid w:val="00BD3BFD"/>
    <w:rsid w:val="00BD42FB"/>
    <w:rsid w:val="00BD629D"/>
    <w:rsid w:val="00BD6421"/>
    <w:rsid w:val="00BD7991"/>
    <w:rsid w:val="00BD7A67"/>
    <w:rsid w:val="00BE1E76"/>
    <w:rsid w:val="00BE2E59"/>
    <w:rsid w:val="00BE321F"/>
    <w:rsid w:val="00BE358E"/>
    <w:rsid w:val="00BE462F"/>
    <w:rsid w:val="00BE5687"/>
    <w:rsid w:val="00BE5CE8"/>
    <w:rsid w:val="00BE739E"/>
    <w:rsid w:val="00BE7778"/>
    <w:rsid w:val="00BE77D0"/>
    <w:rsid w:val="00BF04AE"/>
    <w:rsid w:val="00BF0E12"/>
    <w:rsid w:val="00BF3FC8"/>
    <w:rsid w:val="00BF51C1"/>
    <w:rsid w:val="00BF56AD"/>
    <w:rsid w:val="00BF5D98"/>
    <w:rsid w:val="00BF634F"/>
    <w:rsid w:val="00BF6CCF"/>
    <w:rsid w:val="00BF7471"/>
    <w:rsid w:val="00BF771D"/>
    <w:rsid w:val="00C01E01"/>
    <w:rsid w:val="00C01E13"/>
    <w:rsid w:val="00C0202D"/>
    <w:rsid w:val="00C021EC"/>
    <w:rsid w:val="00C02B83"/>
    <w:rsid w:val="00C03FBB"/>
    <w:rsid w:val="00C05555"/>
    <w:rsid w:val="00C0579A"/>
    <w:rsid w:val="00C05C1F"/>
    <w:rsid w:val="00C05F0B"/>
    <w:rsid w:val="00C07A80"/>
    <w:rsid w:val="00C07EEC"/>
    <w:rsid w:val="00C105D6"/>
    <w:rsid w:val="00C10EA2"/>
    <w:rsid w:val="00C120E0"/>
    <w:rsid w:val="00C12746"/>
    <w:rsid w:val="00C134A6"/>
    <w:rsid w:val="00C135C6"/>
    <w:rsid w:val="00C14BE4"/>
    <w:rsid w:val="00C15941"/>
    <w:rsid w:val="00C159E3"/>
    <w:rsid w:val="00C16196"/>
    <w:rsid w:val="00C16397"/>
    <w:rsid w:val="00C174C4"/>
    <w:rsid w:val="00C1764C"/>
    <w:rsid w:val="00C201D1"/>
    <w:rsid w:val="00C2171E"/>
    <w:rsid w:val="00C247EE"/>
    <w:rsid w:val="00C3002D"/>
    <w:rsid w:val="00C3101F"/>
    <w:rsid w:val="00C313FA"/>
    <w:rsid w:val="00C3231F"/>
    <w:rsid w:val="00C324D2"/>
    <w:rsid w:val="00C333D2"/>
    <w:rsid w:val="00C34D4E"/>
    <w:rsid w:val="00C35038"/>
    <w:rsid w:val="00C36158"/>
    <w:rsid w:val="00C401FB"/>
    <w:rsid w:val="00C40355"/>
    <w:rsid w:val="00C40B34"/>
    <w:rsid w:val="00C40D03"/>
    <w:rsid w:val="00C42261"/>
    <w:rsid w:val="00C422D1"/>
    <w:rsid w:val="00C42AB1"/>
    <w:rsid w:val="00C433EC"/>
    <w:rsid w:val="00C44956"/>
    <w:rsid w:val="00C44CBD"/>
    <w:rsid w:val="00C46087"/>
    <w:rsid w:val="00C46460"/>
    <w:rsid w:val="00C473FC"/>
    <w:rsid w:val="00C508C0"/>
    <w:rsid w:val="00C5154A"/>
    <w:rsid w:val="00C51F91"/>
    <w:rsid w:val="00C52B2A"/>
    <w:rsid w:val="00C52E0B"/>
    <w:rsid w:val="00C56F44"/>
    <w:rsid w:val="00C5742B"/>
    <w:rsid w:val="00C57B50"/>
    <w:rsid w:val="00C606F2"/>
    <w:rsid w:val="00C6286C"/>
    <w:rsid w:val="00C63967"/>
    <w:rsid w:val="00C64882"/>
    <w:rsid w:val="00C6513B"/>
    <w:rsid w:val="00C677BF"/>
    <w:rsid w:val="00C67BD6"/>
    <w:rsid w:val="00C70652"/>
    <w:rsid w:val="00C70879"/>
    <w:rsid w:val="00C70DEE"/>
    <w:rsid w:val="00C71422"/>
    <w:rsid w:val="00C71DC7"/>
    <w:rsid w:val="00C721EA"/>
    <w:rsid w:val="00C72925"/>
    <w:rsid w:val="00C73A58"/>
    <w:rsid w:val="00C7573A"/>
    <w:rsid w:val="00C75C1B"/>
    <w:rsid w:val="00C76377"/>
    <w:rsid w:val="00C7650F"/>
    <w:rsid w:val="00C76BAE"/>
    <w:rsid w:val="00C77F89"/>
    <w:rsid w:val="00C803B9"/>
    <w:rsid w:val="00C82128"/>
    <w:rsid w:val="00C83AF4"/>
    <w:rsid w:val="00C850C3"/>
    <w:rsid w:val="00C87DEE"/>
    <w:rsid w:val="00C90A85"/>
    <w:rsid w:val="00C90B26"/>
    <w:rsid w:val="00C91FBC"/>
    <w:rsid w:val="00C950E3"/>
    <w:rsid w:val="00C972CE"/>
    <w:rsid w:val="00CA017A"/>
    <w:rsid w:val="00CA03B7"/>
    <w:rsid w:val="00CA1A7F"/>
    <w:rsid w:val="00CA3EDE"/>
    <w:rsid w:val="00CA41D1"/>
    <w:rsid w:val="00CA5DDB"/>
    <w:rsid w:val="00CA7643"/>
    <w:rsid w:val="00CA78F1"/>
    <w:rsid w:val="00CB0019"/>
    <w:rsid w:val="00CB1500"/>
    <w:rsid w:val="00CB2085"/>
    <w:rsid w:val="00CB3CC1"/>
    <w:rsid w:val="00CB4E2E"/>
    <w:rsid w:val="00CB58DE"/>
    <w:rsid w:val="00CB7F59"/>
    <w:rsid w:val="00CC0A84"/>
    <w:rsid w:val="00CC0B8B"/>
    <w:rsid w:val="00CC0EEF"/>
    <w:rsid w:val="00CC1D9A"/>
    <w:rsid w:val="00CC35A2"/>
    <w:rsid w:val="00CC3B86"/>
    <w:rsid w:val="00CC40D2"/>
    <w:rsid w:val="00CC457E"/>
    <w:rsid w:val="00CC4835"/>
    <w:rsid w:val="00CC537B"/>
    <w:rsid w:val="00CC7E50"/>
    <w:rsid w:val="00CD0E62"/>
    <w:rsid w:val="00CD160A"/>
    <w:rsid w:val="00CD1ABF"/>
    <w:rsid w:val="00CD23D8"/>
    <w:rsid w:val="00CD274B"/>
    <w:rsid w:val="00CD31E3"/>
    <w:rsid w:val="00CD38A7"/>
    <w:rsid w:val="00CD517C"/>
    <w:rsid w:val="00CD576F"/>
    <w:rsid w:val="00CD5B3A"/>
    <w:rsid w:val="00CE0CFA"/>
    <w:rsid w:val="00CE0F8F"/>
    <w:rsid w:val="00CE1503"/>
    <w:rsid w:val="00CE3286"/>
    <w:rsid w:val="00CE5739"/>
    <w:rsid w:val="00CE59A6"/>
    <w:rsid w:val="00CE61F7"/>
    <w:rsid w:val="00CE65FE"/>
    <w:rsid w:val="00CF0A2D"/>
    <w:rsid w:val="00CF0E23"/>
    <w:rsid w:val="00CF1DDB"/>
    <w:rsid w:val="00CF319E"/>
    <w:rsid w:val="00CF3694"/>
    <w:rsid w:val="00CF3773"/>
    <w:rsid w:val="00CF3E28"/>
    <w:rsid w:val="00CF50B4"/>
    <w:rsid w:val="00CF5626"/>
    <w:rsid w:val="00CF582E"/>
    <w:rsid w:val="00CF595B"/>
    <w:rsid w:val="00CF5D36"/>
    <w:rsid w:val="00CF6298"/>
    <w:rsid w:val="00CF6EF2"/>
    <w:rsid w:val="00D00A02"/>
    <w:rsid w:val="00D00E05"/>
    <w:rsid w:val="00D00FB5"/>
    <w:rsid w:val="00D0321F"/>
    <w:rsid w:val="00D03650"/>
    <w:rsid w:val="00D05A60"/>
    <w:rsid w:val="00D0663A"/>
    <w:rsid w:val="00D067DD"/>
    <w:rsid w:val="00D07368"/>
    <w:rsid w:val="00D1134B"/>
    <w:rsid w:val="00D122D5"/>
    <w:rsid w:val="00D12FB7"/>
    <w:rsid w:val="00D15EE6"/>
    <w:rsid w:val="00D164D9"/>
    <w:rsid w:val="00D17A22"/>
    <w:rsid w:val="00D17A5A"/>
    <w:rsid w:val="00D17E55"/>
    <w:rsid w:val="00D17F0C"/>
    <w:rsid w:val="00D205D2"/>
    <w:rsid w:val="00D20F5D"/>
    <w:rsid w:val="00D210F9"/>
    <w:rsid w:val="00D2214A"/>
    <w:rsid w:val="00D2226F"/>
    <w:rsid w:val="00D22E8B"/>
    <w:rsid w:val="00D23BFC"/>
    <w:rsid w:val="00D2528E"/>
    <w:rsid w:val="00D25333"/>
    <w:rsid w:val="00D2763F"/>
    <w:rsid w:val="00D27A34"/>
    <w:rsid w:val="00D31E47"/>
    <w:rsid w:val="00D31F7E"/>
    <w:rsid w:val="00D32D84"/>
    <w:rsid w:val="00D36D37"/>
    <w:rsid w:val="00D379D8"/>
    <w:rsid w:val="00D37BCD"/>
    <w:rsid w:val="00D40694"/>
    <w:rsid w:val="00D4098C"/>
    <w:rsid w:val="00D42AE6"/>
    <w:rsid w:val="00D435FD"/>
    <w:rsid w:val="00D43D01"/>
    <w:rsid w:val="00D43F2B"/>
    <w:rsid w:val="00D44E3A"/>
    <w:rsid w:val="00D45CE6"/>
    <w:rsid w:val="00D46657"/>
    <w:rsid w:val="00D46C8C"/>
    <w:rsid w:val="00D51512"/>
    <w:rsid w:val="00D52F72"/>
    <w:rsid w:val="00D54B09"/>
    <w:rsid w:val="00D55D98"/>
    <w:rsid w:val="00D5673A"/>
    <w:rsid w:val="00D56F6F"/>
    <w:rsid w:val="00D570B4"/>
    <w:rsid w:val="00D57AAB"/>
    <w:rsid w:val="00D60622"/>
    <w:rsid w:val="00D61A29"/>
    <w:rsid w:val="00D61CAC"/>
    <w:rsid w:val="00D6288D"/>
    <w:rsid w:val="00D62C50"/>
    <w:rsid w:val="00D634DF"/>
    <w:rsid w:val="00D6421B"/>
    <w:rsid w:val="00D65AAA"/>
    <w:rsid w:val="00D6647E"/>
    <w:rsid w:val="00D673C8"/>
    <w:rsid w:val="00D67EC3"/>
    <w:rsid w:val="00D70298"/>
    <w:rsid w:val="00D705F7"/>
    <w:rsid w:val="00D70F38"/>
    <w:rsid w:val="00D71233"/>
    <w:rsid w:val="00D71AA2"/>
    <w:rsid w:val="00D71D71"/>
    <w:rsid w:val="00D72962"/>
    <w:rsid w:val="00D73634"/>
    <w:rsid w:val="00D74537"/>
    <w:rsid w:val="00D74B90"/>
    <w:rsid w:val="00D75734"/>
    <w:rsid w:val="00D8046A"/>
    <w:rsid w:val="00D8239A"/>
    <w:rsid w:val="00D823E9"/>
    <w:rsid w:val="00D82813"/>
    <w:rsid w:val="00D847B8"/>
    <w:rsid w:val="00D858A3"/>
    <w:rsid w:val="00D85907"/>
    <w:rsid w:val="00D85FF8"/>
    <w:rsid w:val="00D865C4"/>
    <w:rsid w:val="00D90385"/>
    <w:rsid w:val="00D90F71"/>
    <w:rsid w:val="00D93A12"/>
    <w:rsid w:val="00D93AC6"/>
    <w:rsid w:val="00D96326"/>
    <w:rsid w:val="00D97F86"/>
    <w:rsid w:val="00DA05AC"/>
    <w:rsid w:val="00DA1CFF"/>
    <w:rsid w:val="00DA1DDF"/>
    <w:rsid w:val="00DA20E8"/>
    <w:rsid w:val="00DA555E"/>
    <w:rsid w:val="00DA6042"/>
    <w:rsid w:val="00DB0592"/>
    <w:rsid w:val="00DB09C5"/>
    <w:rsid w:val="00DB137A"/>
    <w:rsid w:val="00DB1EFE"/>
    <w:rsid w:val="00DB2C9A"/>
    <w:rsid w:val="00DB4818"/>
    <w:rsid w:val="00DB5FDB"/>
    <w:rsid w:val="00DB6F5F"/>
    <w:rsid w:val="00DB7089"/>
    <w:rsid w:val="00DB76C9"/>
    <w:rsid w:val="00DB79A1"/>
    <w:rsid w:val="00DC0C28"/>
    <w:rsid w:val="00DC2C91"/>
    <w:rsid w:val="00DC3533"/>
    <w:rsid w:val="00DC4089"/>
    <w:rsid w:val="00DC4DA5"/>
    <w:rsid w:val="00DC5C46"/>
    <w:rsid w:val="00DC5DD6"/>
    <w:rsid w:val="00DC61EF"/>
    <w:rsid w:val="00DC77E9"/>
    <w:rsid w:val="00DD1239"/>
    <w:rsid w:val="00DD292C"/>
    <w:rsid w:val="00DD3A12"/>
    <w:rsid w:val="00DD6441"/>
    <w:rsid w:val="00DD707C"/>
    <w:rsid w:val="00DD7B95"/>
    <w:rsid w:val="00DE0117"/>
    <w:rsid w:val="00DE0BA9"/>
    <w:rsid w:val="00DE1C86"/>
    <w:rsid w:val="00DE1EE9"/>
    <w:rsid w:val="00DE40B5"/>
    <w:rsid w:val="00DE5B28"/>
    <w:rsid w:val="00DE6822"/>
    <w:rsid w:val="00DE69AA"/>
    <w:rsid w:val="00DE7084"/>
    <w:rsid w:val="00DE7B1B"/>
    <w:rsid w:val="00DF00E3"/>
    <w:rsid w:val="00DF1261"/>
    <w:rsid w:val="00DF19A1"/>
    <w:rsid w:val="00DF1FAF"/>
    <w:rsid w:val="00DF2AB9"/>
    <w:rsid w:val="00DF31B9"/>
    <w:rsid w:val="00DF34EC"/>
    <w:rsid w:val="00DF3781"/>
    <w:rsid w:val="00DF37D4"/>
    <w:rsid w:val="00DF5148"/>
    <w:rsid w:val="00DF59C1"/>
    <w:rsid w:val="00DF62F2"/>
    <w:rsid w:val="00DF6AE8"/>
    <w:rsid w:val="00DF73AE"/>
    <w:rsid w:val="00DF7C10"/>
    <w:rsid w:val="00E00B81"/>
    <w:rsid w:val="00E00D05"/>
    <w:rsid w:val="00E011DF"/>
    <w:rsid w:val="00E01B2E"/>
    <w:rsid w:val="00E01D0B"/>
    <w:rsid w:val="00E01D78"/>
    <w:rsid w:val="00E02244"/>
    <w:rsid w:val="00E02C0A"/>
    <w:rsid w:val="00E03C7C"/>
    <w:rsid w:val="00E04578"/>
    <w:rsid w:val="00E049C6"/>
    <w:rsid w:val="00E05285"/>
    <w:rsid w:val="00E0622F"/>
    <w:rsid w:val="00E0766A"/>
    <w:rsid w:val="00E1007B"/>
    <w:rsid w:val="00E102E0"/>
    <w:rsid w:val="00E10981"/>
    <w:rsid w:val="00E10F38"/>
    <w:rsid w:val="00E12E0E"/>
    <w:rsid w:val="00E133B3"/>
    <w:rsid w:val="00E144E2"/>
    <w:rsid w:val="00E14838"/>
    <w:rsid w:val="00E149FA"/>
    <w:rsid w:val="00E1549F"/>
    <w:rsid w:val="00E1722D"/>
    <w:rsid w:val="00E20890"/>
    <w:rsid w:val="00E21FF5"/>
    <w:rsid w:val="00E2205F"/>
    <w:rsid w:val="00E22694"/>
    <w:rsid w:val="00E263DC"/>
    <w:rsid w:val="00E26C2C"/>
    <w:rsid w:val="00E27560"/>
    <w:rsid w:val="00E278D0"/>
    <w:rsid w:val="00E3023D"/>
    <w:rsid w:val="00E30574"/>
    <w:rsid w:val="00E30F94"/>
    <w:rsid w:val="00E353A8"/>
    <w:rsid w:val="00E3622D"/>
    <w:rsid w:val="00E365E5"/>
    <w:rsid w:val="00E375EE"/>
    <w:rsid w:val="00E40C10"/>
    <w:rsid w:val="00E40F13"/>
    <w:rsid w:val="00E41457"/>
    <w:rsid w:val="00E42A91"/>
    <w:rsid w:val="00E42DBC"/>
    <w:rsid w:val="00E44A99"/>
    <w:rsid w:val="00E45559"/>
    <w:rsid w:val="00E455D6"/>
    <w:rsid w:val="00E4562D"/>
    <w:rsid w:val="00E458CF"/>
    <w:rsid w:val="00E45B6E"/>
    <w:rsid w:val="00E4605F"/>
    <w:rsid w:val="00E50158"/>
    <w:rsid w:val="00E50565"/>
    <w:rsid w:val="00E52056"/>
    <w:rsid w:val="00E52E51"/>
    <w:rsid w:val="00E53A3D"/>
    <w:rsid w:val="00E540A5"/>
    <w:rsid w:val="00E5488D"/>
    <w:rsid w:val="00E54CB6"/>
    <w:rsid w:val="00E54F53"/>
    <w:rsid w:val="00E5517E"/>
    <w:rsid w:val="00E553A7"/>
    <w:rsid w:val="00E564BF"/>
    <w:rsid w:val="00E56610"/>
    <w:rsid w:val="00E57C2B"/>
    <w:rsid w:val="00E60476"/>
    <w:rsid w:val="00E60BAA"/>
    <w:rsid w:val="00E624DE"/>
    <w:rsid w:val="00E62A8F"/>
    <w:rsid w:val="00E6395E"/>
    <w:rsid w:val="00E64578"/>
    <w:rsid w:val="00E741E5"/>
    <w:rsid w:val="00E75C65"/>
    <w:rsid w:val="00E75CE2"/>
    <w:rsid w:val="00E76A2F"/>
    <w:rsid w:val="00E7728E"/>
    <w:rsid w:val="00E7740F"/>
    <w:rsid w:val="00E77702"/>
    <w:rsid w:val="00E8115B"/>
    <w:rsid w:val="00E81286"/>
    <w:rsid w:val="00E81BA2"/>
    <w:rsid w:val="00E81E87"/>
    <w:rsid w:val="00E82F6B"/>
    <w:rsid w:val="00E839A6"/>
    <w:rsid w:val="00E86750"/>
    <w:rsid w:val="00E867CD"/>
    <w:rsid w:val="00E90E93"/>
    <w:rsid w:val="00E91523"/>
    <w:rsid w:val="00E9180D"/>
    <w:rsid w:val="00E92991"/>
    <w:rsid w:val="00E92BE1"/>
    <w:rsid w:val="00E9337D"/>
    <w:rsid w:val="00E933F0"/>
    <w:rsid w:val="00E93726"/>
    <w:rsid w:val="00E93CCE"/>
    <w:rsid w:val="00E93EDA"/>
    <w:rsid w:val="00E941BA"/>
    <w:rsid w:val="00E946D3"/>
    <w:rsid w:val="00E96D06"/>
    <w:rsid w:val="00E97C03"/>
    <w:rsid w:val="00EA00A1"/>
    <w:rsid w:val="00EA00CC"/>
    <w:rsid w:val="00EA09CE"/>
    <w:rsid w:val="00EA12F1"/>
    <w:rsid w:val="00EA13ED"/>
    <w:rsid w:val="00EA25DC"/>
    <w:rsid w:val="00EA3FB1"/>
    <w:rsid w:val="00EA4193"/>
    <w:rsid w:val="00EA626B"/>
    <w:rsid w:val="00EA69CB"/>
    <w:rsid w:val="00EB0ABC"/>
    <w:rsid w:val="00EB10A8"/>
    <w:rsid w:val="00EB11CC"/>
    <w:rsid w:val="00EB2873"/>
    <w:rsid w:val="00EB2F7A"/>
    <w:rsid w:val="00EB3F7B"/>
    <w:rsid w:val="00EB4CC5"/>
    <w:rsid w:val="00EB592F"/>
    <w:rsid w:val="00EC081D"/>
    <w:rsid w:val="00EC5654"/>
    <w:rsid w:val="00EC5E88"/>
    <w:rsid w:val="00EC6780"/>
    <w:rsid w:val="00EC6BE9"/>
    <w:rsid w:val="00EC76F2"/>
    <w:rsid w:val="00ED022B"/>
    <w:rsid w:val="00ED109B"/>
    <w:rsid w:val="00ED10E0"/>
    <w:rsid w:val="00ED1A35"/>
    <w:rsid w:val="00ED1A53"/>
    <w:rsid w:val="00ED1DC4"/>
    <w:rsid w:val="00ED2933"/>
    <w:rsid w:val="00ED2DC5"/>
    <w:rsid w:val="00ED4276"/>
    <w:rsid w:val="00ED478A"/>
    <w:rsid w:val="00ED52CE"/>
    <w:rsid w:val="00ED6ADC"/>
    <w:rsid w:val="00ED7AAD"/>
    <w:rsid w:val="00EE0E05"/>
    <w:rsid w:val="00EE26A8"/>
    <w:rsid w:val="00EE276A"/>
    <w:rsid w:val="00EE302B"/>
    <w:rsid w:val="00EE43C9"/>
    <w:rsid w:val="00EE5B2F"/>
    <w:rsid w:val="00EE5C31"/>
    <w:rsid w:val="00EE5E7C"/>
    <w:rsid w:val="00EE7723"/>
    <w:rsid w:val="00EF0F41"/>
    <w:rsid w:val="00EF154D"/>
    <w:rsid w:val="00EF159D"/>
    <w:rsid w:val="00EF28BF"/>
    <w:rsid w:val="00EF3458"/>
    <w:rsid w:val="00EF386F"/>
    <w:rsid w:val="00EF53CD"/>
    <w:rsid w:val="00EF5875"/>
    <w:rsid w:val="00EF5B7B"/>
    <w:rsid w:val="00EF6C47"/>
    <w:rsid w:val="00EF6CB3"/>
    <w:rsid w:val="00EF7105"/>
    <w:rsid w:val="00EF7193"/>
    <w:rsid w:val="00EF7719"/>
    <w:rsid w:val="00EF7CC5"/>
    <w:rsid w:val="00F00ECE"/>
    <w:rsid w:val="00F05143"/>
    <w:rsid w:val="00F05FB1"/>
    <w:rsid w:val="00F062D9"/>
    <w:rsid w:val="00F0671B"/>
    <w:rsid w:val="00F124E8"/>
    <w:rsid w:val="00F12FA0"/>
    <w:rsid w:val="00F151CB"/>
    <w:rsid w:val="00F15218"/>
    <w:rsid w:val="00F160F0"/>
    <w:rsid w:val="00F16529"/>
    <w:rsid w:val="00F21013"/>
    <w:rsid w:val="00F22C22"/>
    <w:rsid w:val="00F22C89"/>
    <w:rsid w:val="00F22DE3"/>
    <w:rsid w:val="00F23A3A"/>
    <w:rsid w:val="00F2414A"/>
    <w:rsid w:val="00F2458D"/>
    <w:rsid w:val="00F2486D"/>
    <w:rsid w:val="00F2486F"/>
    <w:rsid w:val="00F24ED5"/>
    <w:rsid w:val="00F26BDA"/>
    <w:rsid w:val="00F2748F"/>
    <w:rsid w:val="00F2783E"/>
    <w:rsid w:val="00F3058D"/>
    <w:rsid w:val="00F30B68"/>
    <w:rsid w:val="00F31CD7"/>
    <w:rsid w:val="00F321B3"/>
    <w:rsid w:val="00F3267D"/>
    <w:rsid w:val="00F32D70"/>
    <w:rsid w:val="00F32E9F"/>
    <w:rsid w:val="00F34C3B"/>
    <w:rsid w:val="00F34CA2"/>
    <w:rsid w:val="00F35055"/>
    <w:rsid w:val="00F35B67"/>
    <w:rsid w:val="00F36094"/>
    <w:rsid w:val="00F36743"/>
    <w:rsid w:val="00F37EF4"/>
    <w:rsid w:val="00F40761"/>
    <w:rsid w:val="00F41581"/>
    <w:rsid w:val="00F41862"/>
    <w:rsid w:val="00F430AE"/>
    <w:rsid w:val="00F430B8"/>
    <w:rsid w:val="00F43556"/>
    <w:rsid w:val="00F43970"/>
    <w:rsid w:val="00F46B7D"/>
    <w:rsid w:val="00F47AA3"/>
    <w:rsid w:val="00F50DC3"/>
    <w:rsid w:val="00F5206E"/>
    <w:rsid w:val="00F52816"/>
    <w:rsid w:val="00F53125"/>
    <w:rsid w:val="00F537F0"/>
    <w:rsid w:val="00F53876"/>
    <w:rsid w:val="00F553F6"/>
    <w:rsid w:val="00F56FE7"/>
    <w:rsid w:val="00F57155"/>
    <w:rsid w:val="00F607AE"/>
    <w:rsid w:val="00F6193E"/>
    <w:rsid w:val="00F61C9D"/>
    <w:rsid w:val="00F624A7"/>
    <w:rsid w:val="00F64C09"/>
    <w:rsid w:val="00F6543D"/>
    <w:rsid w:val="00F66BD5"/>
    <w:rsid w:val="00F70215"/>
    <w:rsid w:val="00F70377"/>
    <w:rsid w:val="00F703E5"/>
    <w:rsid w:val="00F706BC"/>
    <w:rsid w:val="00F7297A"/>
    <w:rsid w:val="00F7376A"/>
    <w:rsid w:val="00F73C44"/>
    <w:rsid w:val="00F73D07"/>
    <w:rsid w:val="00F74835"/>
    <w:rsid w:val="00F76F0A"/>
    <w:rsid w:val="00F7711D"/>
    <w:rsid w:val="00F8030A"/>
    <w:rsid w:val="00F82C25"/>
    <w:rsid w:val="00F836A5"/>
    <w:rsid w:val="00F84A15"/>
    <w:rsid w:val="00F854E5"/>
    <w:rsid w:val="00F85D10"/>
    <w:rsid w:val="00F86080"/>
    <w:rsid w:val="00F871A1"/>
    <w:rsid w:val="00F87688"/>
    <w:rsid w:val="00F87AE7"/>
    <w:rsid w:val="00F90D36"/>
    <w:rsid w:val="00F935A1"/>
    <w:rsid w:val="00F94B83"/>
    <w:rsid w:val="00F94F29"/>
    <w:rsid w:val="00F9594F"/>
    <w:rsid w:val="00F95E9E"/>
    <w:rsid w:val="00F973C9"/>
    <w:rsid w:val="00F97BA8"/>
    <w:rsid w:val="00F97CE8"/>
    <w:rsid w:val="00FA28F7"/>
    <w:rsid w:val="00FA44C8"/>
    <w:rsid w:val="00FA6915"/>
    <w:rsid w:val="00FA704D"/>
    <w:rsid w:val="00FA7B93"/>
    <w:rsid w:val="00FA7C34"/>
    <w:rsid w:val="00FB1259"/>
    <w:rsid w:val="00FB26EE"/>
    <w:rsid w:val="00FB55B3"/>
    <w:rsid w:val="00FC22B8"/>
    <w:rsid w:val="00FC335C"/>
    <w:rsid w:val="00FC36D4"/>
    <w:rsid w:val="00FC3C57"/>
    <w:rsid w:val="00FC3D89"/>
    <w:rsid w:val="00FC48CC"/>
    <w:rsid w:val="00FC6243"/>
    <w:rsid w:val="00FD2BB7"/>
    <w:rsid w:val="00FD2D71"/>
    <w:rsid w:val="00FD41FD"/>
    <w:rsid w:val="00FD6F9B"/>
    <w:rsid w:val="00FD6FF0"/>
    <w:rsid w:val="00FD7BCD"/>
    <w:rsid w:val="00FE0B80"/>
    <w:rsid w:val="00FE14C9"/>
    <w:rsid w:val="00FE1C55"/>
    <w:rsid w:val="00FE237C"/>
    <w:rsid w:val="00FE27FB"/>
    <w:rsid w:val="00FE39EA"/>
    <w:rsid w:val="00FE4698"/>
    <w:rsid w:val="00FE4ABA"/>
    <w:rsid w:val="00FE5690"/>
    <w:rsid w:val="00FE5FFF"/>
    <w:rsid w:val="00FE62C7"/>
    <w:rsid w:val="00FE6550"/>
    <w:rsid w:val="00FE7253"/>
    <w:rsid w:val="00FE7BDC"/>
    <w:rsid w:val="00FE7D67"/>
    <w:rsid w:val="00FF06D1"/>
    <w:rsid w:val="00FF1DC0"/>
    <w:rsid w:val="00FF203A"/>
    <w:rsid w:val="00FF3DA0"/>
    <w:rsid w:val="00FF447A"/>
    <w:rsid w:val="00FF5726"/>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B864873-02E8-4C85-946F-50C146F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Linie,ВерхКолонтитул"/>
    <w:basedOn w:val="a"/>
    <w:link w:val="a4"/>
    <w:uiPriority w:val="99"/>
    <w:rsid w:val="00FE14C9"/>
    <w:pPr>
      <w:tabs>
        <w:tab w:val="center" w:pos="4677"/>
        <w:tab w:val="right" w:pos="9355"/>
      </w:tabs>
    </w:pPr>
  </w:style>
  <w:style w:type="character" w:styleId="a5">
    <w:name w:val="page number"/>
    <w:basedOn w:val="a0"/>
    <w:rsid w:val="00FE14C9"/>
  </w:style>
  <w:style w:type="character" w:customStyle="1" w:styleId="a4">
    <w:name w:val="Верхний колонтитул Знак"/>
    <w:aliases w:val="Linie Знак,ВерхКолонтитул Знак"/>
    <w:link w:val="a3"/>
    <w:uiPriority w:val="99"/>
    <w:locked/>
    <w:rsid w:val="00FE14C9"/>
    <w:rPr>
      <w:sz w:val="24"/>
      <w:szCs w:val="24"/>
      <w:lang w:val="ru-RU" w:eastAsia="ru-RU" w:bidi="ar-SA"/>
    </w:rPr>
  </w:style>
  <w:style w:type="paragraph" w:customStyle="1" w:styleId="ListParagraph">
    <w:name w:val="List Paragraph"/>
    <w:basedOn w:val="a"/>
    <w:rsid w:val="007517F7"/>
    <w:pPr>
      <w:spacing w:after="200" w:line="276" w:lineRule="auto"/>
      <w:ind w:left="720"/>
    </w:pPr>
    <w:rPr>
      <w:rFonts w:ascii="Calibri" w:hAnsi="Calibri"/>
      <w:sz w:val="22"/>
      <w:szCs w:val="22"/>
      <w:lang w:eastAsia="en-US"/>
    </w:rPr>
  </w:style>
  <w:style w:type="paragraph" w:styleId="a6">
    <w:name w:val="Normal (Web)"/>
    <w:basedOn w:val="a"/>
    <w:uiPriority w:val="99"/>
    <w:rsid w:val="007517F7"/>
    <w:pPr>
      <w:spacing w:before="100" w:beforeAutospacing="1" w:after="240"/>
    </w:pPr>
    <w:rPr>
      <w:rFonts w:eastAsia="Calibri"/>
    </w:rPr>
  </w:style>
  <w:style w:type="paragraph" w:styleId="a7">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customStyle="1" w:styleId="NoSpacing">
    <w:name w:val="No Spacing"/>
    <w:rsid w:val="00BA7F3C"/>
    <w:rPr>
      <w:rFonts w:ascii="Calibri" w:hAnsi="Calibri"/>
      <w:sz w:val="22"/>
      <w:szCs w:val="22"/>
      <w:lang w:eastAsia="en-US"/>
    </w:rPr>
  </w:style>
  <w:style w:type="character" w:styleId="a8">
    <w:name w:val="Hyperlink"/>
    <w:rsid w:val="005A51EF"/>
    <w:rPr>
      <w:color w:val="0000FF"/>
      <w:u w:val="single"/>
    </w:rPr>
  </w:style>
  <w:style w:type="paragraph" w:styleId="a9">
    <w:name w:val="footer"/>
    <w:basedOn w:val="a"/>
    <w:link w:val="aa"/>
    <w:uiPriority w:val="99"/>
    <w:rsid w:val="00397AC2"/>
    <w:pPr>
      <w:tabs>
        <w:tab w:val="center" w:pos="4677"/>
        <w:tab w:val="right" w:pos="9355"/>
      </w:tabs>
    </w:pPr>
    <w:rPr>
      <w:lang w:val="x-none" w:eastAsia="x-none"/>
    </w:rPr>
  </w:style>
  <w:style w:type="character" w:customStyle="1" w:styleId="aa">
    <w:name w:val="Нижний колонтитул Знак"/>
    <w:link w:val="a9"/>
    <w:uiPriority w:val="99"/>
    <w:rsid w:val="00397AC2"/>
    <w:rPr>
      <w:sz w:val="24"/>
      <w:szCs w:val="24"/>
    </w:rPr>
  </w:style>
  <w:style w:type="paragraph" w:styleId="ab">
    <w:name w:val="Balloon Text"/>
    <w:basedOn w:val="a"/>
    <w:link w:val="ac"/>
    <w:rsid w:val="00157829"/>
    <w:rPr>
      <w:rFonts w:ascii="Tahoma" w:hAnsi="Tahoma"/>
      <w:sz w:val="16"/>
      <w:szCs w:val="16"/>
      <w:lang w:val="x-none" w:eastAsia="x-none"/>
    </w:rPr>
  </w:style>
  <w:style w:type="character" w:customStyle="1" w:styleId="ac">
    <w:name w:val="Текст выноски Знак"/>
    <w:link w:val="ab"/>
    <w:rsid w:val="00157829"/>
    <w:rPr>
      <w:rFonts w:ascii="Tahoma" w:hAnsi="Tahoma" w:cs="Tahoma"/>
      <w:sz w:val="16"/>
      <w:szCs w:val="16"/>
    </w:rPr>
  </w:style>
  <w:style w:type="paragraph" w:customStyle="1" w:styleId="Style16">
    <w:name w:val="Style16"/>
    <w:basedOn w:val="a"/>
    <w:uiPriority w:val="99"/>
    <w:rsid w:val="000F4567"/>
    <w:pPr>
      <w:widowControl w:val="0"/>
      <w:autoSpaceDE w:val="0"/>
      <w:autoSpaceDN w:val="0"/>
      <w:adjustRightInd w:val="0"/>
      <w:spacing w:line="278" w:lineRule="exact"/>
      <w:ind w:firstLine="709"/>
      <w:jc w:val="both"/>
    </w:pPr>
    <w:rPr>
      <w:rFonts w:ascii="Arial Unicode MS" w:eastAsia="Arial Unicode MS" w:hAnsi="Calibri" w:cs="Arial Unicode MS"/>
    </w:rPr>
  </w:style>
  <w:style w:type="character" w:customStyle="1" w:styleId="FontStyle28">
    <w:name w:val="Font Style28"/>
    <w:uiPriority w:val="99"/>
    <w:rsid w:val="000F4567"/>
    <w:rPr>
      <w:rFonts w:ascii="Times New Roman" w:hAnsi="Times New Roman" w:cs="Times New Roman"/>
      <w:sz w:val="22"/>
      <w:szCs w:val="22"/>
    </w:rPr>
  </w:style>
  <w:style w:type="character" w:styleId="ad">
    <w:name w:val="annotation reference"/>
    <w:rsid w:val="00726660"/>
    <w:rPr>
      <w:sz w:val="16"/>
      <w:szCs w:val="16"/>
    </w:rPr>
  </w:style>
  <w:style w:type="paragraph" w:styleId="ae">
    <w:name w:val="annotation text"/>
    <w:basedOn w:val="a"/>
    <w:link w:val="af"/>
    <w:uiPriority w:val="99"/>
    <w:rsid w:val="00726660"/>
    <w:rPr>
      <w:sz w:val="20"/>
      <w:szCs w:val="20"/>
    </w:rPr>
  </w:style>
  <w:style w:type="character" w:customStyle="1" w:styleId="af">
    <w:name w:val="Текст примечания Знак"/>
    <w:basedOn w:val="a0"/>
    <w:link w:val="ae"/>
    <w:uiPriority w:val="99"/>
    <w:rsid w:val="00726660"/>
  </w:style>
  <w:style w:type="paragraph" w:customStyle="1" w:styleId="-12">
    <w:name w:val="Цветной список - Акцент 12"/>
    <w:basedOn w:val="a"/>
    <w:rsid w:val="00F7711D"/>
    <w:pPr>
      <w:spacing w:after="200" w:line="276" w:lineRule="auto"/>
      <w:ind w:left="720"/>
    </w:pPr>
    <w:rPr>
      <w:rFonts w:ascii="Calibri" w:eastAsia="Calibri" w:hAnsi="Calibri"/>
      <w:sz w:val="22"/>
      <w:szCs w:val="22"/>
      <w:lang w:val="en-US" w:eastAsia="en-US"/>
    </w:rPr>
  </w:style>
  <w:style w:type="paragraph" w:customStyle="1" w:styleId="Style29">
    <w:name w:val="Style29"/>
    <w:basedOn w:val="a"/>
    <w:uiPriority w:val="99"/>
    <w:rsid w:val="00BE7778"/>
    <w:pPr>
      <w:widowControl w:val="0"/>
      <w:autoSpaceDE w:val="0"/>
      <w:autoSpaceDN w:val="0"/>
      <w:adjustRightInd w:val="0"/>
      <w:spacing w:line="269" w:lineRule="exact"/>
      <w:jc w:val="center"/>
    </w:pPr>
    <w:rPr>
      <w:rFonts w:ascii="Sylfaen" w:hAnsi="Sylfaen"/>
    </w:rPr>
  </w:style>
  <w:style w:type="paragraph" w:customStyle="1" w:styleId="Style7">
    <w:name w:val="Style7"/>
    <w:basedOn w:val="a"/>
    <w:uiPriority w:val="99"/>
    <w:rsid w:val="00F94B83"/>
    <w:pPr>
      <w:widowControl w:val="0"/>
      <w:autoSpaceDE w:val="0"/>
      <w:autoSpaceDN w:val="0"/>
      <w:adjustRightInd w:val="0"/>
      <w:spacing w:line="298" w:lineRule="exact"/>
      <w:ind w:firstLine="710"/>
      <w:jc w:val="both"/>
    </w:pPr>
    <w:rPr>
      <w:rFonts w:ascii="Bookman Old Style" w:hAnsi="Bookman Old Style"/>
    </w:rPr>
  </w:style>
  <w:style w:type="character" w:customStyle="1" w:styleId="FontStyle81">
    <w:name w:val="Font Style81"/>
    <w:uiPriority w:val="99"/>
    <w:rsid w:val="00A55557"/>
    <w:rPr>
      <w:rFonts w:ascii="Sylfaen" w:hAnsi="Sylfaen" w:cs="Sylfaen"/>
      <w:b/>
      <w:bCs/>
      <w:sz w:val="18"/>
      <w:szCs w:val="18"/>
    </w:rPr>
  </w:style>
  <w:style w:type="character" w:customStyle="1" w:styleId="FontStyle13">
    <w:name w:val="Font Style13"/>
    <w:uiPriority w:val="99"/>
    <w:rsid w:val="00073482"/>
    <w:rPr>
      <w:rFonts w:ascii="Times New Roman" w:hAnsi="Times New Roman" w:cs="Times New Roman"/>
      <w:sz w:val="26"/>
      <w:szCs w:val="26"/>
    </w:rPr>
  </w:style>
  <w:style w:type="paragraph" w:customStyle="1" w:styleId="CM4">
    <w:name w:val="CM4"/>
    <w:basedOn w:val="a"/>
    <w:next w:val="a"/>
    <w:uiPriority w:val="99"/>
    <w:rsid w:val="006A27BF"/>
    <w:pPr>
      <w:autoSpaceDE w:val="0"/>
      <w:autoSpaceDN w:val="0"/>
      <w:adjustRightInd w:val="0"/>
    </w:pPr>
    <w:rPr>
      <w:rFonts w:eastAsia="Calibri"/>
      <w:lang w:val="fr-FR" w:eastAsia="en-US"/>
    </w:rPr>
  </w:style>
  <w:style w:type="paragraph" w:customStyle="1" w:styleId="Aaceioaaaea">
    <w:name w:val="Aac eioa?aaea"/>
    <w:basedOn w:val="a"/>
    <w:rsid w:val="00D067DD"/>
    <w:pPr>
      <w:spacing w:line="360" w:lineRule="auto"/>
      <w:ind w:firstLine="284"/>
      <w:jc w:val="both"/>
    </w:pPr>
    <w:rPr>
      <w:rFonts w:eastAsia="PMingLiU"/>
      <w:snapToGrid w:val="0"/>
      <w:sz w:val="28"/>
      <w:szCs w:val="28"/>
      <w:lang w:val="en-US" w:eastAsia="zh-TW"/>
    </w:rPr>
  </w:style>
  <w:style w:type="character" w:customStyle="1" w:styleId="FontStyle14">
    <w:name w:val="Font Style14"/>
    <w:uiPriority w:val="99"/>
    <w:rsid w:val="00484C68"/>
    <w:rPr>
      <w:rFonts w:ascii="Times New Roman" w:hAnsi="Times New Roman" w:cs="Times New Roman"/>
      <w:sz w:val="24"/>
      <w:szCs w:val="24"/>
    </w:rPr>
  </w:style>
  <w:style w:type="paragraph" w:customStyle="1" w:styleId="Style6">
    <w:name w:val="Style6"/>
    <w:basedOn w:val="a"/>
    <w:uiPriority w:val="99"/>
    <w:rsid w:val="00416165"/>
    <w:pPr>
      <w:widowControl w:val="0"/>
      <w:autoSpaceDE w:val="0"/>
      <w:autoSpaceDN w:val="0"/>
      <w:adjustRightInd w:val="0"/>
      <w:spacing w:line="320" w:lineRule="exact"/>
      <w:ind w:firstLine="566"/>
      <w:jc w:val="both"/>
    </w:pPr>
    <w:rPr>
      <w:rFonts w:eastAsia="PMingLiU"/>
      <w:snapToGrid w:val="0"/>
      <w:lang w:val="en-US" w:eastAsia="zh-TW"/>
    </w:rPr>
  </w:style>
  <w:style w:type="paragraph" w:styleId="af0">
    <w:name w:val="Body Text"/>
    <w:basedOn w:val="a"/>
    <w:link w:val="af1"/>
    <w:qFormat/>
    <w:rsid w:val="00E54F53"/>
    <w:pPr>
      <w:spacing w:after="240"/>
    </w:pPr>
    <w:rPr>
      <w:kern w:val="24"/>
      <w:lang w:val="en-US" w:eastAsia="en-US"/>
    </w:rPr>
  </w:style>
  <w:style w:type="character" w:customStyle="1" w:styleId="af1">
    <w:name w:val="Основной текст Знак"/>
    <w:link w:val="af0"/>
    <w:rsid w:val="00E54F53"/>
    <w:rPr>
      <w:kern w:val="24"/>
      <w:sz w:val="24"/>
      <w:szCs w:val="24"/>
      <w:lang w:val="en-US" w:eastAsia="en-US"/>
    </w:rPr>
  </w:style>
  <w:style w:type="character" w:customStyle="1" w:styleId="CharStyle12">
    <w:name w:val="Char Style 12"/>
    <w:link w:val="Style11"/>
    <w:uiPriority w:val="99"/>
    <w:locked/>
    <w:rsid w:val="00810A9B"/>
    <w:rPr>
      <w:sz w:val="26"/>
      <w:szCs w:val="26"/>
      <w:shd w:val="clear" w:color="auto" w:fill="FFFFFF"/>
    </w:rPr>
  </w:style>
  <w:style w:type="paragraph" w:customStyle="1" w:styleId="Style11">
    <w:name w:val="Style 11"/>
    <w:basedOn w:val="a"/>
    <w:link w:val="CharStyle12"/>
    <w:uiPriority w:val="99"/>
    <w:rsid w:val="00810A9B"/>
    <w:pPr>
      <w:widowControl w:val="0"/>
      <w:shd w:val="clear" w:color="auto" w:fill="FFFFFF"/>
      <w:spacing w:before="540" w:line="315" w:lineRule="exact"/>
      <w:jc w:val="both"/>
    </w:pPr>
    <w:rPr>
      <w:sz w:val="26"/>
      <w:szCs w:val="26"/>
    </w:rPr>
  </w:style>
  <w:style w:type="paragraph" w:customStyle="1" w:styleId="ConsPlusTitle">
    <w:name w:val="ConsPlusTitle"/>
    <w:uiPriority w:val="99"/>
    <w:rsid w:val="00425C8F"/>
    <w:pPr>
      <w:widowControl w:val="0"/>
      <w:autoSpaceDE w:val="0"/>
      <w:autoSpaceDN w:val="0"/>
      <w:adjustRightInd w:val="0"/>
    </w:pPr>
    <w:rPr>
      <w:rFonts w:ascii="Arial" w:hAnsi="Arial" w:cs="Arial"/>
      <w:b/>
      <w:bCs/>
      <w:sz w:val="16"/>
      <w:szCs w:val="16"/>
    </w:rPr>
  </w:style>
  <w:style w:type="character" w:customStyle="1" w:styleId="pt-a0">
    <w:name w:val="pt-a0"/>
    <w:rsid w:val="003178C5"/>
  </w:style>
  <w:style w:type="paragraph" w:customStyle="1" w:styleId="pt-a-000008">
    <w:name w:val="pt-a-000008"/>
    <w:basedOn w:val="a"/>
    <w:rsid w:val="00D0663A"/>
    <w:pPr>
      <w:spacing w:before="100" w:beforeAutospacing="1" w:after="100" w:afterAutospacing="1"/>
    </w:pPr>
  </w:style>
  <w:style w:type="character" w:customStyle="1" w:styleId="af2">
    <w:name w:val="Основной текст_"/>
    <w:link w:val="1"/>
    <w:rsid w:val="000B53BE"/>
    <w:rPr>
      <w:sz w:val="26"/>
      <w:szCs w:val="26"/>
      <w:shd w:val="clear" w:color="auto" w:fill="FFFFFF"/>
    </w:rPr>
  </w:style>
  <w:style w:type="paragraph" w:customStyle="1" w:styleId="1">
    <w:name w:val="Основной текст1"/>
    <w:basedOn w:val="a"/>
    <w:link w:val="af2"/>
    <w:rsid w:val="000B53BE"/>
    <w:pPr>
      <w:widowControl w:val="0"/>
      <w:shd w:val="clear" w:color="auto" w:fill="FFFFFF"/>
      <w:spacing w:before="300" w:after="180" w:line="364" w:lineRule="exact"/>
    </w:pPr>
    <w:rPr>
      <w:sz w:val="26"/>
      <w:szCs w:val="26"/>
    </w:rPr>
  </w:style>
  <w:style w:type="paragraph" w:styleId="3">
    <w:name w:val="Body Text Indent 3"/>
    <w:basedOn w:val="a"/>
    <w:link w:val="30"/>
    <w:rsid w:val="00D27A34"/>
    <w:pPr>
      <w:spacing w:after="120"/>
      <w:ind w:left="283"/>
    </w:pPr>
    <w:rPr>
      <w:sz w:val="16"/>
      <w:szCs w:val="16"/>
    </w:rPr>
  </w:style>
  <w:style w:type="character" w:customStyle="1" w:styleId="30">
    <w:name w:val="Основной текст с отступом 3 Знак"/>
    <w:link w:val="3"/>
    <w:rsid w:val="00D27A34"/>
    <w:rPr>
      <w:sz w:val="16"/>
      <w:szCs w:val="16"/>
    </w:rPr>
  </w:style>
  <w:style w:type="paragraph" w:styleId="af3">
    <w:name w:val="No Spacing"/>
    <w:uiPriority w:val="1"/>
    <w:qFormat/>
    <w:rsid w:val="00BC219D"/>
    <w:rPr>
      <w:rFonts w:ascii="Calibri" w:eastAsia="Calibri" w:hAnsi="Calibri"/>
      <w:sz w:val="22"/>
      <w:szCs w:val="22"/>
      <w:lang w:eastAsia="en-US"/>
    </w:rPr>
  </w:style>
  <w:style w:type="paragraph" w:styleId="2">
    <w:name w:val="Body Text 2"/>
    <w:basedOn w:val="a"/>
    <w:link w:val="20"/>
    <w:rsid w:val="002E3BC8"/>
    <w:pPr>
      <w:spacing w:after="120" w:line="480" w:lineRule="auto"/>
    </w:pPr>
  </w:style>
  <w:style w:type="character" w:customStyle="1" w:styleId="20">
    <w:name w:val="Основной текст 2 Знак"/>
    <w:link w:val="2"/>
    <w:rsid w:val="002E3BC8"/>
    <w:rPr>
      <w:sz w:val="24"/>
      <w:szCs w:val="24"/>
    </w:rPr>
  </w:style>
  <w:style w:type="character" w:customStyle="1" w:styleId="pt-000004">
    <w:name w:val="pt-000004"/>
    <w:rsid w:val="007461F0"/>
  </w:style>
  <w:style w:type="character" w:customStyle="1" w:styleId="af4">
    <w:name w:val="Основной текст + Курсив"/>
    <w:rsid w:val="002152E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5">
    <w:name w:val="Title"/>
    <w:basedOn w:val="a"/>
    <w:link w:val="af6"/>
    <w:qFormat/>
    <w:rsid w:val="00D43D01"/>
    <w:pPr>
      <w:jc w:val="center"/>
    </w:pPr>
  </w:style>
  <w:style w:type="character" w:customStyle="1" w:styleId="af6">
    <w:name w:val="Название Знак"/>
    <w:link w:val="af5"/>
    <w:rsid w:val="00D43D01"/>
    <w:rPr>
      <w:sz w:val="24"/>
      <w:szCs w:val="24"/>
    </w:rPr>
  </w:style>
  <w:style w:type="character" w:styleId="af7">
    <w:name w:val="Emphasis"/>
    <w:uiPriority w:val="20"/>
    <w:qFormat/>
    <w:rsid w:val="00516E41"/>
    <w:rPr>
      <w:b/>
      <w:bCs/>
      <w:i w:val="0"/>
      <w:iCs w:val="0"/>
    </w:rPr>
  </w:style>
  <w:style w:type="character" w:customStyle="1" w:styleId="st1">
    <w:name w:val="st1"/>
    <w:rsid w:val="00516E41"/>
  </w:style>
  <w:style w:type="character" w:customStyle="1" w:styleId="21">
    <w:name w:val="Основной текст (2)_"/>
    <w:link w:val="22"/>
    <w:uiPriority w:val="99"/>
    <w:locked/>
    <w:rsid w:val="00610248"/>
    <w:rPr>
      <w:sz w:val="23"/>
      <w:szCs w:val="23"/>
      <w:shd w:val="clear" w:color="auto" w:fill="FFFFFF"/>
    </w:rPr>
  </w:style>
  <w:style w:type="paragraph" w:customStyle="1" w:styleId="22">
    <w:name w:val="Основной текст (2)"/>
    <w:basedOn w:val="a"/>
    <w:link w:val="21"/>
    <w:uiPriority w:val="99"/>
    <w:rsid w:val="00610248"/>
    <w:pPr>
      <w:shd w:val="clear" w:color="auto" w:fill="FFFFFF"/>
      <w:spacing w:line="240" w:lineRule="atLeast"/>
      <w:jc w:val="righ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587A-D5B9-4808-AA97-5B1E86A1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5547</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37091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subject/>
  <dc:creator>BabichME</dc:creator>
  <cp:keywords/>
  <cp:lastModifiedBy>Краснова Мария Владимировна</cp:lastModifiedBy>
  <cp:revision>2</cp:revision>
  <cp:lastPrinted>2017-01-25T12:52:00Z</cp:lastPrinted>
  <dcterms:created xsi:type="dcterms:W3CDTF">2017-04-03T14:48:00Z</dcterms:created>
  <dcterms:modified xsi:type="dcterms:W3CDTF">2017-04-03T14:48:00Z</dcterms:modified>
</cp:coreProperties>
</file>