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УТВЕРЖДЕНЫ</w:t>
      </w:r>
    </w:p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     от «___» _______ 2016 г. № __</w:t>
      </w:r>
    </w:p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534" w:rsidRPr="00C70A35" w:rsidRDefault="002815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1534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A3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534" w:rsidRPr="00C70A35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об организации и порядке проведения продажи лома и отходов черных и цветных металлов на аукционе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534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проведения аукциона по продаже лома и отходов черных и цветных металлов (далее – лом и (или) отходы), принадлежащих государственным корпорациями, государственными компаниям, субъектам естественных монополий, государственным и муниципальным унитарным предприятиям, хозяйственным обществам,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процентов, а также их дочерним обществам (далее – продавцы), условия участия в нем, а также порядок оплаты лома и (или) отходов и вознаграждения организатора аукциона.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2. Право приобретения лома и (или) отходов принадлежит покупателю, который предложит в ходе аукциона наиболее высокую цену за них.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3. Аукцион является открытым по составу участников.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4. Предложения о цене лома и (или) отходов заявляются участниками аукциона  открыто в ходе проведения аукциона.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5. Продавец в соответствии с законодательством Российской Федерации при подготовке и проведении аукциона: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а) определяет объем и иные характеристики подлежащего продаже лома и (или) отходов (далее именуется – лот);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б) определяет начальную цену лота (далее именуется - начальная цена); 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в) производит необходимые расчеты за лом и (или) отходы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с покупателем в соответствии с настоящим Положением;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г) определяет условия договора купли-продажи лома и (или) отходов;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д) заключает договор купли-продажи лома и (или) отходов, обеспечивает передачу лома и (или) отходов покупателю;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е)  выполняет иные функции, предусмотренные настоящим Положением.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6. Организатор в соответствии с законодательством Российской Федерации и заключенным с про</w:t>
      </w:r>
      <w:r>
        <w:rPr>
          <w:rFonts w:ascii="Times New Roman" w:hAnsi="Times New Roman" w:cs="Times New Roman"/>
          <w:sz w:val="28"/>
          <w:szCs w:val="28"/>
        </w:rPr>
        <w:t>давцом договором при подготовке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 xml:space="preserve">и проведении аукциона: 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а) определяет место, даты начала и окончания приема заявок, место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и  даты определения участников аукциона и  подведения итогов аукциона;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б) определяет величину повышения начальной цены ("шаг аукциона");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в) организует подготовку и разме</w:t>
      </w:r>
      <w:r>
        <w:rPr>
          <w:rFonts w:ascii="Times New Roman" w:hAnsi="Times New Roman" w:cs="Times New Roman"/>
          <w:sz w:val="28"/>
          <w:szCs w:val="28"/>
        </w:rPr>
        <w:t>щение информационного сообщения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о проведении аукциона в информационно-телекоммуникационной сети "Интернет" (далее - сеть "Интернет") на сайте, определенном Правительством Российской Федерации для размещения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о проведении торгов (далее - официальный сайт в сети "Интернет");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г) принимает от претендентов заявки на участие в аукционе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З</w:t>
      </w:r>
      <w:r w:rsidRPr="00C70A35">
        <w:rPr>
          <w:rFonts w:ascii="Times New Roman" w:hAnsi="Times New Roman" w:cs="Times New Roman"/>
          <w:sz w:val="28"/>
          <w:szCs w:val="28"/>
        </w:rPr>
        <w:t>аявки) и прилагаемые к ним документы;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д) определяет размер, срок и условия внесения задатка лицами, намеревающимися принять участие в аукционе (далее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C70A35">
        <w:rPr>
          <w:rFonts w:ascii="Times New Roman" w:hAnsi="Times New Roman" w:cs="Times New Roman"/>
          <w:sz w:val="28"/>
          <w:szCs w:val="28"/>
        </w:rPr>
        <w:t xml:space="preserve">ретенденты), а 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r w:rsidRPr="00C70A35">
        <w:rPr>
          <w:rFonts w:ascii="Times New Roman" w:hAnsi="Times New Roman" w:cs="Times New Roman"/>
          <w:sz w:val="28"/>
          <w:szCs w:val="28"/>
        </w:rPr>
        <w:t>акже иные условия договора о задатке;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е) заключает с претендентами договоры о задатке;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ж)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35">
        <w:rPr>
          <w:rFonts w:ascii="Times New Roman" w:hAnsi="Times New Roman" w:cs="Times New Roman"/>
          <w:sz w:val="28"/>
          <w:szCs w:val="28"/>
        </w:rPr>
        <w:t>аукциона;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ведет учет З</w:t>
      </w:r>
      <w:r w:rsidRPr="00C70A35">
        <w:rPr>
          <w:rFonts w:ascii="Times New Roman" w:hAnsi="Times New Roman" w:cs="Times New Roman"/>
          <w:sz w:val="28"/>
          <w:szCs w:val="28"/>
        </w:rPr>
        <w:t>аявок по мере и</w:t>
      </w:r>
      <w:r>
        <w:rPr>
          <w:rFonts w:ascii="Times New Roman" w:hAnsi="Times New Roman" w:cs="Times New Roman"/>
          <w:sz w:val="28"/>
          <w:szCs w:val="28"/>
        </w:rPr>
        <w:t>х поступления в журнале приема З</w:t>
      </w:r>
      <w:r w:rsidRPr="00C70A35">
        <w:rPr>
          <w:rFonts w:ascii="Times New Roman" w:hAnsi="Times New Roman" w:cs="Times New Roman"/>
          <w:sz w:val="28"/>
          <w:szCs w:val="28"/>
        </w:rPr>
        <w:t>аявок;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П</w:t>
      </w:r>
      <w:r w:rsidRPr="00C70A35">
        <w:rPr>
          <w:rFonts w:ascii="Times New Roman" w:hAnsi="Times New Roman" w:cs="Times New Roman"/>
          <w:sz w:val="28"/>
          <w:szCs w:val="28"/>
        </w:rPr>
        <w:t>ретендентов участниками аукциона или об отказе в допуске к участию в аукционе и уведомляет претендентов о принятом решении;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к) назначает из числа своих работников уполномоченного представителя по проведению аукциона (либо комиссию по проведению аукциона), а также нанимает аукциониста или назначает его из числа своих работников;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л) определяет победителя аукциона и оформляет протокол об итогах аукциона;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м) уведомляет победителя аукциона о его победе на аукционе;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н) организует подготовку и размещение информационного сообщения об итогах аукциона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0A3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A35">
        <w:rPr>
          <w:rFonts w:ascii="Times New Roman" w:hAnsi="Times New Roman" w:cs="Times New Roman"/>
          <w:sz w:val="28"/>
          <w:szCs w:val="28"/>
        </w:rPr>
        <w:t>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о) заключает с покупателем, определенным по итогам аукциона соглашение о выплате вознаграждения; 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0A35">
        <w:rPr>
          <w:rFonts w:ascii="Times New Roman" w:hAnsi="Times New Roman" w:cs="Times New Roman"/>
          <w:sz w:val="28"/>
          <w:szCs w:val="28"/>
        </w:rPr>
        <w:t>) выполняет иные функции в соответствии с настоящим Положением.</w:t>
      </w:r>
    </w:p>
    <w:p w:rsidR="00281534" w:rsidRPr="00F61122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C7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аукциона подлежит размещению на официальном сайте Российской Федерации в сети «Интернет», определенном Правительством Российской Федерации, не менее чем за тридцать дней до дня проведения аукциона. </w:t>
      </w:r>
      <w:r w:rsidRPr="00F61122">
        <w:rPr>
          <w:rFonts w:ascii="Times New Roman" w:hAnsi="Times New Roman" w:cs="Times New Roman"/>
          <w:sz w:val="28"/>
          <w:szCs w:val="28"/>
        </w:rPr>
        <w:t>Дополнительно информационное сообщение может размещаться на официальном сайте продавца и организатора в сети «Интернет».</w:t>
      </w:r>
    </w:p>
    <w:p w:rsidR="00281534" w:rsidRPr="003524C7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C7">
        <w:rPr>
          <w:rFonts w:ascii="Times New Roman" w:hAnsi="Times New Roman" w:cs="Times New Roman"/>
          <w:sz w:val="28"/>
          <w:szCs w:val="28"/>
        </w:rPr>
        <w:t>Информационное сообщение должно содержать следующие сведения: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а) наименование продавца лота;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б) наименование организатора аукциона;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в) сведения о характеристиках лота, его местонахождении;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г) начальная цена лота, а также «шаг аукциона»;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д) порядок и сроки осмотра лота;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е) порядок и сроки подачи заявок на участие в аукционе;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ж) исчерпывающий перечень представляемых претендентами документов и требования к их оформлению;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з) дата, время и место проведения аукциона, а также подведения его итогов;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и) порядок определения победителя аукциона;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к) срок заключения договора купли-продажи лома и (или) отходов, являвшихся предметом аукциона, его условия, в том числе, условия и сроки платежа, необходимые реквизиты счетов, срок и условия вывоза лома и (или) отходов, являвшихся предметом аукциона;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л) условия о размере, сроке и порядке выплаты вознаграждения организатору аукциона, а также указание на то, что такие условия являются публичной оферто</w:t>
      </w:r>
      <w:r>
        <w:rPr>
          <w:rFonts w:ascii="Times New Roman" w:hAnsi="Times New Roman" w:cs="Times New Roman"/>
          <w:sz w:val="28"/>
          <w:szCs w:val="28"/>
        </w:rPr>
        <w:t xml:space="preserve">й в соответствии со статьей 437 </w:t>
      </w:r>
      <w:r w:rsidRPr="00C70A35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организатора аукциона считается заключенным в установленном порядке;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м) условия о размере задатка, сроке и порядке его внесения, назначении платежа, порядке возврата задатка, реквизиты счета, а также указание на то, что такие условия являются условиями публичной оферты в соответствии со статьей 437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35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 Подача претендентом заявки и перечисление задатка на счет организатора аукциона являются акцептом такой оферты, и договор о задатке считается заключенным в установленном порядке;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н) иные сведения, предусмотренные настоящим Положением.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8. Претендент не допускается к участию в аукционе по следующим основаниям: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а) представленные документы не подтверждают право претендента быть покупателем лома и (или) отходов;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б) представлены не все документы в соответствии с перечнем, указанным в информационном сообщении, или оформление указанных документов не соответствует требованиям, установленным в информационном сообщении;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в) заявка подана лицом, не уполномоченным претендентом на осуществление таких действий;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г) не подтверждено поступление в установленный срок задатка на счета, указанные в информационном сообщении.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9.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 поступивший от претендента задаток подлежит возврату в срок не позднее пяти 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10. Одно лицо имеет право подать только одну заявку.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11.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281534" w:rsidRPr="00112E92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12. </w:t>
      </w:r>
      <w:r w:rsidRPr="00112E92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подписания протокола об итогах аукциона, от заключения в установленный срок договора купли-продажи лома и (или) отходов, задаток ему не возвращается и он утрачивает право на заключение указанного договора.</w:t>
      </w:r>
    </w:p>
    <w:p w:rsidR="00281534" w:rsidRPr="00112E92" w:rsidRDefault="00281534" w:rsidP="00AF5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E92">
        <w:rPr>
          <w:rFonts w:ascii="Times New Roman" w:hAnsi="Times New Roman" w:cs="Times New Roman"/>
          <w:sz w:val="28"/>
          <w:szCs w:val="28"/>
        </w:rPr>
        <w:t>13. Суммы задатков возвращаются всем участникам аукциона, за исключением победителя (либо единственного участника) аукциона и участника аукциона, сделавшего предпоследнее предложение по цене, которому задаток возвращается на условиях,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br/>
        <w:t xml:space="preserve">38 </w:t>
      </w:r>
      <w:r w:rsidRPr="00112E9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12E92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0A35">
        <w:rPr>
          <w:rFonts w:ascii="Times New Roman" w:hAnsi="Times New Roman" w:cs="Times New Roman"/>
          <w:sz w:val="28"/>
          <w:szCs w:val="28"/>
        </w:rPr>
        <w:t>. В течение пяти рабочих дней с даты подведения итогов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35">
        <w:rPr>
          <w:rFonts w:ascii="Times New Roman" w:hAnsi="Times New Roman" w:cs="Times New Roman"/>
          <w:sz w:val="28"/>
          <w:szCs w:val="28"/>
        </w:rPr>
        <w:t>победитель аукциона заключает договор купли-продажи с продавцом и, в тот же срок,  победитель осуществляет оплату вознаграждения организатору аукциона.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15. Передача лома и (или) отходов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лома и (или) отходов.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16. Организатор аукциона в порядке, определенном договором с продавцом, вправе объявить о проведении повторного аукциона в случае, если аукцион был признан несостоявшимся или претендент, признанный единственным участником аукциона, в определенные настоящим Положением сроки не подписали договор купли-продажи.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17. Начальная цена предмета повторного аукциона может быть определена ниже ранее установленной начальной цены лота, но не более чем на тридцать процентов.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1534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II. Условия участия в аукционе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18. Для участия в аукционе претендент представляет организатору (лично или через своего полномочного представителя) в установленный срок заявку по форме, утверждаемой организатором, и иные документы в соответствии с перечнем, содержащимся в информационном сообщении о проведении аукциона. Заявка и опись представленных документов составляются в 2 экземплярах, один из которых остается у организатора, другой - у заявителя.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19. Для участия в аукционе претендент вносит задаток в размере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20 процентов от начальной цены в соответствии с договором о задатке на счет, открытый организатором аукциона. Документом, подтверждающим поступление задатка на счет, указанный в информационном сообщении, является выписка со счета организатора аукциона.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20. Прием заявок начинается с даты, объявленной в информационном сообщении о проведении аукциона, осуществляется в течение не менее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25 календарных дней и заканчивается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A35">
        <w:rPr>
          <w:rFonts w:ascii="Times New Roman" w:hAnsi="Times New Roman" w:cs="Times New Roman"/>
          <w:sz w:val="28"/>
          <w:szCs w:val="28"/>
        </w:rPr>
        <w:t xml:space="preserve"> чем за день до даты рассмотрения продавцом заявок и документов претендентов.</w:t>
      </w:r>
    </w:p>
    <w:p w:rsidR="00281534" w:rsidRPr="00AD5841" w:rsidRDefault="00281534" w:rsidP="00AD584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21.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документов. На каждом экземпляре заявки организатором дел</w:t>
      </w:r>
      <w:r>
        <w:rPr>
          <w:rFonts w:ascii="Times New Roman" w:hAnsi="Times New Roman" w:cs="Times New Roman"/>
          <w:sz w:val="28"/>
          <w:szCs w:val="28"/>
        </w:rPr>
        <w:t>ается отметка о принятии заявки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с указанием ее номера, даты и времени принятия организатором.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22. Заявки, поступившие по истечении срока их приема, указанного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в информационном сообщении о провед</w:t>
      </w:r>
      <w:r>
        <w:rPr>
          <w:rFonts w:ascii="Times New Roman" w:hAnsi="Times New Roman" w:cs="Times New Roman"/>
          <w:sz w:val="28"/>
          <w:szCs w:val="28"/>
        </w:rPr>
        <w:t>ении аукциона, вместе с описью,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на которой делается отметка об отказе в принятии документов, возвращаются претендентам или их уполномоченным представителям без рассмотрения.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23. Организатор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24. В случае, если по окончании срока подачи заявок к участию в аукционе допущен только один претендент,  не подано ни одной заявки или ни один из претендентов не признан участником аукциона, аукцион признается несостоявшимся. 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III. Порядок проведения аукциона и оформление</w:t>
      </w:r>
    </w:p>
    <w:p w:rsidR="00281534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его результатов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25. Решения организатора о признании претендентов участниками аукциона оформляется протоколом.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При наличии оснований для признания аукциона несостоявшимся организатор принимает соответствующее решение, которое оформляется протоколом.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26. Решение организатора о признании претендентов участниками аукциона принимается в течение 5 рабочих дней со дня окончания срока приема заявок.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27. В день определения участников аукциона организатор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28.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29. Информация об отказе в допуске к участию в аукционе размещается на официальном сайте в сети "Интернет" в срок не позднее трех рабочих дней, следующих за днем принятия решения об отказе в допуске.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30. Претендент приобретает статус участника аукциона с момента оформления организатором протокола о признании претендентов участниками аукциона.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31. Аукцион проводится в следующем порядке: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а) аукцион должен быть проведен не позднее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C70A35">
        <w:rPr>
          <w:rFonts w:ascii="Times New Roman" w:hAnsi="Times New Roman" w:cs="Times New Roman"/>
          <w:sz w:val="28"/>
          <w:szCs w:val="28"/>
        </w:rPr>
        <w:t>го рабочего дня со дня признания претендентов участниками аукциона;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б) аукцион ведет аукционист;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г) аукцион начинается с объявления уполномоченным представителем организатора об открытии аукциона;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д) после открытия аукциона аукционистом оглашаются наименование лота, основные его характеристики, начальная цена лота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0A35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A35">
        <w:rPr>
          <w:rFonts w:ascii="Times New Roman" w:hAnsi="Times New Roman" w:cs="Times New Roman"/>
          <w:sz w:val="28"/>
          <w:szCs w:val="28"/>
        </w:rPr>
        <w:t>. "Шаг аукциона" устанавливается организатором в фиксированной сумме, составляющей не более 10 процентов начальной цены лота, и не изменяется в течение всего аукциона;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е) после оглашения аукционистом начальной цены лота участникам аукциона предлагается заявить эту цену путем поднятия карточек;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ж) после заявления хотя бы одним участником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превышающая предыдущую цену лота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0A35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A35">
        <w:rPr>
          <w:rFonts w:ascii="Times New Roman" w:hAnsi="Times New Roman" w:cs="Times New Roman"/>
          <w:sz w:val="28"/>
          <w:szCs w:val="28"/>
        </w:rPr>
        <w:t xml:space="preserve">, заявляется участниками аукциона путем поднятия карточек. В случае заявления цены лота, кратной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0A35">
        <w:rPr>
          <w:rFonts w:ascii="Times New Roman" w:hAnsi="Times New Roman" w:cs="Times New Roman"/>
          <w:sz w:val="28"/>
          <w:szCs w:val="28"/>
        </w:rPr>
        <w:t>шагу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A35">
        <w:rPr>
          <w:rFonts w:ascii="Times New Roman" w:hAnsi="Times New Roman" w:cs="Times New Roman"/>
          <w:sz w:val="28"/>
          <w:szCs w:val="28"/>
        </w:rPr>
        <w:t>, эта цена заявляется участниками аукциона путем поднятия карточек и ее оглашения;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з) аукционист называет номер карточки участника аукциона, который первым заявил начальную или последующую цену лота, указывает на этого участника и объявляет заявленную цену как цену продажи лота. При отсутствии предложений со стороны иных участников аукциона аукционист повторяет эту цену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70A35">
        <w:rPr>
          <w:rFonts w:ascii="Times New Roman" w:hAnsi="Times New Roman" w:cs="Times New Roman"/>
          <w:sz w:val="28"/>
          <w:szCs w:val="28"/>
        </w:rPr>
        <w:t xml:space="preserve"> раза. Если до третьего повторения заявленной цены ни один из участников аукциона не поднял карточку и не заявил последующую цену лота, аукцион завершается;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и) по завершении аукциона аукционист объявляет о продаже лота,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к) цена лота, предложенная победителем аукциона, заносится в протокол об итогах аукциона, составляемый в трех экземплярах.</w:t>
      </w:r>
    </w:p>
    <w:p w:rsidR="00281534" w:rsidRPr="00112E92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32. </w:t>
      </w:r>
      <w:r w:rsidRPr="00112E92">
        <w:rPr>
          <w:rFonts w:ascii="Times New Roman" w:hAnsi="Times New Roman" w:cs="Times New Roman"/>
          <w:sz w:val="28"/>
          <w:szCs w:val="28"/>
        </w:rPr>
        <w:t xml:space="preserve">Протокол об итогах аукциона должен содержать сведения о продавце, организаторе, составе лота, победителе, предложенной им цене лота, а также предпоследнее предложение о цене лота и сведения о предложившем ее участнике.  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Протокол об итогах аукциона подписывается в день его проведения аукционистом и уполномоченным представителем организатора (либо комиссией по проведению торгов, в случае ее назначения), а также победителем аукциона, и является документом, удостоверяющим право победителя на заключение договора купли-продажи лота. 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33. По результатам аукциона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70A35">
        <w:rPr>
          <w:rFonts w:ascii="Times New Roman" w:hAnsi="Times New Roman" w:cs="Times New Roman"/>
          <w:sz w:val="28"/>
          <w:szCs w:val="28"/>
        </w:rPr>
        <w:t xml:space="preserve">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лома и (или) отходов. 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Победитель аукциона в тот же срок оплачивает вознаграждение организатору в  размере, указанном в информационном сообщении. 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</w:t>
      </w:r>
      <w:r w:rsidRPr="00C70A35">
        <w:rPr>
          <w:rFonts w:ascii="Times New Roman" w:hAnsi="Times New Roman" w:cs="Times New Roman"/>
          <w:sz w:val="28"/>
          <w:szCs w:val="28"/>
        </w:rPr>
        <w:t>течение пяти рабочих дней со дня подписания протокола об итогах аукциона, победитель не подписал договор купли-продажи лома и (или) отходов, он теряет право на заключение договора, задаток ему не возвращается. В этом случае договор купли-продажи подлежит заключению с участником</w:t>
      </w:r>
      <w:r w:rsidRPr="00C7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аукциона, сделавшим предпоследнее предложение, по цене, предложенной таким участником, в течение пяти рабочих дней с даты получения им соответствующего уведомления от организатора, вознаграждение организатора аукциона подлежит оплате таким участником также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Pr="00C7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 даты получения им указанного уведомления от организатора. В случае, если в течение десяти дней со дня получения указанным участником такого уведомления, этот участник не заключил договор купли-продажи с продавцом, организатор в порядке, определенном договором с продавцом, вправе объявить о проведении повторного аукциона или продажи лота посредством публичного предложения.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34. Если при проведении аукциона организатором проводились фотографирование, аудио- и (или) видеозапись, киносъемка, то об этом делается отметка в протоколе.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35.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лота не поступило ни одного предложения о цене предмета аукциона, аукцион признается несостоявшимся.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В случае признания аукциона несостоявшимся организатор в тот же день составляет соответствующий протокол в двух экземплярах, подписанный аукционистом и уполномоченным представителем организатора (либо комиссией по проведению торгов, в случае ее назначения).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36. В случае, если аукцион признан несостоявшимся по причине признания участником аукциона только одного претендента, договор купли-продажи заключается единственным участником и продавцом по начальной цене и на условиях, указанных в информационном соглашении,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70A35">
        <w:rPr>
          <w:rFonts w:ascii="Times New Roman" w:hAnsi="Times New Roman" w:cs="Times New Roman"/>
          <w:sz w:val="28"/>
          <w:szCs w:val="28"/>
        </w:rPr>
        <w:t xml:space="preserve"> рабочих дней с даты признания претендента единственным участником.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37. Лицам, перечислившим задаток для участия в аукционе, денежные средства возвращаются в следующем порядке: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а) участникам аукциона, за исключением его победителя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(либо единственного участника), а также участника, сделавшего предпоследнее предложение о цене лота - в течение пяти рабочих дней со дня подведения итогов аукциона;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аукционе, - в течение пяти рабочих дней со дня подписания протокола о признании претендентов участниками аукциона.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38. Задаток победителя аукциона (либо единственного участника аукциона) подлежит перечислению организатором на счет продавца в установленном порядке в течение пяти рабочих дней со дня получения организатором аукциона уведомления от продавца о факте заключения им договора купли-продажи  с приложением копии такого договора. </w:t>
      </w:r>
    </w:p>
    <w:p w:rsidR="00281534" w:rsidRPr="00112E92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Задаток участника, сделавшего предпоследнее предложение о цене лота, подлежит возвращению в течение пяти рабочих дней со дня получения организатором аукциона уведомления от продавца о факте заключения  договора купли-продажи лома и (или) отходов с победителем аукциона с приложением копии такого договора. </w:t>
      </w:r>
      <w:r w:rsidRPr="00112E9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 если в соответствии с пунктом 33 настоящего Положения</w:t>
      </w:r>
      <w:r w:rsidRPr="00112E9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Pr="00112E92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подлежит заключению</w:t>
      </w:r>
      <w:r w:rsidRPr="00112E92">
        <w:rPr>
          <w:rFonts w:ascii="Times New Roman" w:hAnsi="Times New Roman" w:cs="Times New Roman"/>
          <w:sz w:val="28"/>
          <w:szCs w:val="28"/>
        </w:rPr>
        <w:t xml:space="preserve"> с участником, сделавшим предпоследнее предложение о цене лота, его задаток подлежит перечислению организатором на счет продавца. </w:t>
      </w:r>
    </w:p>
    <w:p w:rsidR="00281534" w:rsidRPr="00C70A35" w:rsidRDefault="00281534" w:rsidP="005D55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39. При уклонении или отказе победителя, а также в случаях, предусмотренных настоящим Положением, - единственного участника аукциона или участника аукциона, сделавшего предпоследнее предложение о цене лота, от заключения в установленный срок договора купли-продажи лома и (или) отходов, результаты аннулируются организатором, указанные лица утрачивают право на заключение договора купли-продажи, задаток им не возвращается. Задаток в этом случае подлежит перечислению на счет продавца за исключением суммы вознаграждения организатора аукциона, которое он получил бы в случае выполнения покупателем своей обязанности по оплате вознаграждения.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>40. Информационное сообщение об итогах аукциона размещается на  официальном сайте Российской Федерации в сети «Интернет», определенном Правительством Российской Федерации не позднее пяти рабочих дней, следующих за днем подведения итогов аукциона.</w:t>
      </w:r>
    </w:p>
    <w:p w:rsidR="00281534" w:rsidRPr="00C70A35" w:rsidRDefault="00281534" w:rsidP="005D55E3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A35">
        <w:rPr>
          <w:rFonts w:ascii="Times New Roman" w:hAnsi="Times New Roman" w:cs="Times New Roman"/>
          <w:sz w:val="28"/>
          <w:szCs w:val="28"/>
        </w:rPr>
        <w:t xml:space="preserve">41. Ответственность покупателя в </w:t>
      </w:r>
      <w:r>
        <w:rPr>
          <w:rFonts w:ascii="Times New Roman" w:hAnsi="Times New Roman" w:cs="Times New Roman"/>
          <w:sz w:val="28"/>
          <w:szCs w:val="28"/>
        </w:rPr>
        <w:t>случае его отказа или уклонения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от оплаты лома и (или) отходов, а так</w:t>
      </w:r>
      <w:r>
        <w:rPr>
          <w:rFonts w:ascii="Times New Roman" w:hAnsi="Times New Roman" w:cs="Times New Roman"/>
          <w:sz w:val="28"/>
          <w:szCs w:val="28"/>
        </w:rPr>
        <w:t>же нарушения покупателем сроков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70A35">
        <w:rPr>
          <w:rFonts w:ascii="Times New Roman" w:hAnsi="Times New Roman" w:cs="Times New Roman"/>
          <w:sz w:val="28"/>
          <w:szCs w:val="28"/>
        </w:rPr>
        <w:t>их приемки в установленные сроки, предусматривается в соответ</w:t>
      </w:r>
      <w:r>
        <w:rPr>
          <w:rFonts w:ascii="Times New Roman" w:hAnsi="Times New Roman" w:cs="Times New Roman"/>
          <w:sz w:val="28"/>
          <w:szCs w:val="28"/>
        </w:rPr>
        <w:t>ствии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70A35">
        <w:rPr>
          <w:rFonts w:ascii="Times New Roman" w:hAnsi="Times New Roman" w:cs="Times New Roman"/>
          <w:sz w:val="28"/>
          <w:szCs w:val="28"/>
        </w:rPr>
        <w:t>законодательством  Российской Федерации в договоре купли-продажи лома и (или) отходов.</w:t>
      </w:r>
    </w:p>
    <w:p w:rsidR="00281534" w:rsidRPr="00C70A35" w:rsidRDefault="002815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</w:rPr>
      </w:pPr>
    </w:p>
    <w:sectPr w:rsidR="00281534" w:rsidRPr="00C70A35" w:rsidSect="005D55E3">
      <w:headerReference w:type="default" r:id="rId6"/>
      <w:pgSz w:w="11900" w:h="16840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34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281534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34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281534" w:rsidRDefault="00281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34" w:rsidRPr="0059198D" w:rsidRDefault="0028153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Times New Roman" w:hAnsi="Times New Roman" w:cs="Times New Roman"/>
      </w:rPr>
    </w:pPr>
    <w:r w:rsidRPr="0059198D">
      <w:rPr>
        <w:rFonts w:ascii="Times New Roman" w:hAnsi="Times New Roman" w:cs="Times New Roman"/>
      </w:rPr>
      <w:fldChar w:fldCharType="begin"/>
    </w:r>
    <w:r w:rsidRPr="0059198D">
      <w:rPr>
        <w:rFonts w:ascii="Times New Roman" w:hAnsi="Times New Roman" w:cs="Times New Roman"/>
      </w:rPr>
      <w:instrText>PAGE   \* MERGEFORMAT</w:instrText>
    </w:r>
    <w:r w:rsidRPr="0059198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12</w:t>
    </w:r>
    <w:r w:rsidRPr="0059198D">
      <w:rPr>
        <w:rFonts w:ascii="Times New Roman" w:hAnsi="Times New Roman" w:cs="Times New Roman"/>
      </w:rPr>
      <w:fldChar w:fldCharType="end"/>
    </w:r>
  </w:p>
  <w:p w:rsidR="00281534" w:rsidRDefault="0028153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A08"/>
    <w:rsid w:val="00011E5B"/>
    <w:rsid w:val="00026A9E"/>
    <w:rsid w:val="000679F3"/>
    <w:rsid w:val="000A35BB"/>
    <w:rsid w:val="00112E92"/>
    <w:rsid w:val="00137639"/>
    <w:rsid w:val="00176F7C"/>
    <w:rsid w:val="001A4933"/>
    <w:rsid w:val="002539A7"/>
    <w:rsid w:val="00281534"/>
    <w:rsid w:val="002B4C15"/>
    <w:rsid w:val="002F664F"/>
    <w:rsid w:val="00330991"/>
    <w:rsid w:val="003524C7"/>
    <w:rsid w:val="00354BE6"/>
    <w:rsid w:val="003557E8"/>
    <w:rsid w:val="00407696"/>
    <w:rsid w:val="00431CE1"/>
    <w:rsid w:val="0047061D"/>
    <w:rsid w:val="004A6ADD"/>
    <w:rsid w:val="004B1313"/>
    <w:rsid w:val="004B6F5D"/>
    <w:rsid w:val="00565FF0"/>
    <w:rsid w:val="0059198D"/>
    <w:rsid w:val="005D55E3"/>
    <w:rsid w:val="005E7A0C"/>
    <w:rsid w:val="00616185"/>
    <w:rsid w:val="00686B61"/>
    <w:rsid w:val="006B0971"/>
    <w:rsid w:val="006B2CA7"/>
    <w:rsid w:val="006C4283"/>
    <w:rsid w:val="006C66DD"/>
    <w:rsid w:val="00787DE6"/>
    <w:rsid w:val="00792AFC"/>
    <w:rsid w:val="00792FC8"/>
    <w:rsid w:val="007D14EE"/>
    <w:rsid w:val="007D3C75"/>
    <w:rsid w:val="00806C49"/>
    <w:rsid w:val="0081637C"/>
    <w:rsid w:val="008E1C72"/>
    <w:rsid w:val="008E272C"/>
    <w:rsid w:val="00976D04"/>
    <w:rsid w:val="009A2728"/>
    <w:rsid w:val="009D66F7"/>
    <w:rsid w:val="00A31592"/>
    <w:rsid w:val="00A373D7"/>
    <w:rsid w:val="00A9142F"/>
    <w:rsid w:val="00AB0DC6"/>
    <w:rsid w:val="00AD5841"/>
    <w:rsid w:val="00AD702C"/>
    <w:rsid w:val="00AF5403"/>
    <w:rsid w:val="00BC2017"/>
    <w:rsid w:val="00C2560A"/>
    <w:rsid w:val="00C70A35"/>
    <w:rsid w:val="00C8656A"/>
    <w:rsid w:val="00D011DD"/>
    <w:rsid w:val="00D2350C"/>
    <w:rsid w:val="00D24A22"/>
    <w:rsid w:val="00D856B6"/>
    <w:rsid w:val="00D9476F"/>
    <w:rsid w:val="00E16AF3"/>
    <w:rsid w:val="00E45716"/>
    <w:rsid w:val="00ED4A08"/>
    <w:rsid w:val="00F6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6C49"/>
    <w:rPr>
      <w:u w:val="single"/>
    </w:rPr>
  </w:style>
  <w:style w:type="table" w:customStyle="1" w:styleId="TableNormal1">
    <w:name w:val="Table Normal1"/>
    <w:uiPriority w:val="99"/>
    <w:rsid w:val="00806C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806C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06C4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paragraph" w:customStyle="1" w:styleId="a0">
    <w:name w:val="По умолчанию"/>
    <w:uiPriority w:val="99"/>
    <w:rsid w:val="00806C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806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6C49"/>
    <w:rPr>
      <w:rFonts w:ascii="Calibri" w:eastAsia="Times New Roman" w:hAnsi="Calibri" w:cs="Calibri"/>
      <w:color w:val="000000"/>
      <w:u w:color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06C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9A7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styleId="Header">
    <w:name w:val="header"/>
    <w:basedOn w:val="Normal"/>
    <w:link w:val="HeaderChar"/>
    <w:uiPriority w:val="99"/>
    <w:rsid w:val="007D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C75"/>
    <w:rPr>
      <w:rFonts w:ascii="Calibri" w:eastAsia="Times New Roman" w:hAnsi="Calibri" w:cs="Calibri"/>
      <w:color w:val="000000"/>
      <w:sz w:val="22"/>
      <w:szCs w:val="22"/>
      <w:u w:color="000000"/>
      <w:lang w:eastAsia="en-US"/>
    </w:rPr>
  </w:style>
  <w:style w:type="paragraph" w:styleId="Footer">
    <w:name w:val="footer"/>
    <w:basedOn w:val="Normal"/>
    <w:link w:val="FooterChar"/>
    <w:uiPriority w:val="99"/>
    <w:rsid w:val="007D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C75"/>
    <w:rPr>
      <w:rFonts w:ascii="Calibri" w:eastAsia="Times New Roman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3020</Words>
  <Characters>17216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Гость</dc:creator>
  <cp:keywords/>
  <dc:description/>
  <cp:lastModifiedBy>Image-ПК</cp:lastModifiedBy>
  <cp:revision>2</cp:revision>
  <dcterms:created xsi:type="dcterms:W3CDTF">2016-12-09T14:18:00Z</dcterms:created>
  <dcterms:modified xsi:type="dcterms:W3CDTF">2016-12-09T14:18:00Z</dcterms:modified>
</cp:coreProperties>
</file>