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line="360" w:lineRule="auto"/>
        <w:ind/>
        <w:rPr>
          <w:sz w:val="26"/>
        </w:rPr>
      </w:pPr>
      <w:r>
        <w:rPr>
          <w:sz w:val="26"/>
        </w:rPr>
        <w:t xml:space="preserve">От 31.07.2019 № </w:t>
      </w:r>
      <w:r>
        <w:rPr>
          <w:sz w:val="26"/>
        </w:rPr>
        <w:t>24993-АТ/Д26и</w:t>
      </w:r>
    </w:p>
    <w:p w14:paraId="02000000">
      <w:pPr>
        <w:spacing w:line="360" w:lineRule="auto"/>
        <w:ind/>
        <w:jc w:val="center"/>
        <w:rPr>
          <w:sz w:val="26"/>
        </w:rPr>
      </w:pPr>
    </w:p>
    <w:p w14:paraId="03000000">
      <w:pPr>
        <w:spacing w:line="360" w:lineRule="auto"/>
        <w:ind/>
        <w:jc w:val="center"/>
        <w:rPr>
          <w:sz w:val="26"/>
        </w:rPr>
      </w:pPr>
    </w:p>
    <w:p w14:paraId="04000000">
      <w:pPr>
        <w:spacing w:line="360" w:lineRule="auto"/>
        <w:ind/>
        <w:jc w:val="center"/>
        <w:rPr>
          <w:sz w:val="26"/>
        </w:rPr>
      </w:pPr>
      <w:r>
        <w:rPr>
          <w:sz w:val="26"/>
        </w:rPr>
        <w:t xml:space="preserve">ЗАКЛЮЧЕНИЕ </w:t>
      </w:r>
    </w:p>
    <w:p w14:paraId="05000000">
      <w:pPr>
        <w:ind/>
        <w:jc w:val="center"/>
        <w:rPr>
          <w:sz w:val="26"/>
        </w:rPr>
      </w:pPr>
      <w:r>
        <w:rPr>
          <w:sz w:val="26"/>
        </w:rPr>
        <w:t xml:space="preserve">об оценке регулирующего воздействия </w:t>
      </w:r>
      <w:r>
        <w:rPr>
          <w:sz w:val="26"/>
        </w:rPr>
        <w:br/>
      </w:r>
      <w:r>
        <w:rPr>
          <w:sz w:val="26"/>
        </w:rPr>
        <w:t xml:space="preserve">на проект федерального закона «О внесении изменений в отдельные законодательные акты Российской Федерации в части совершенствования надзора в области безопасного обращения с пестицидами и </w:t>
      </w:r>
      <w:r>
        <w:rPr>
          <w:sz w:val="26"/>
        </w:rPr>
        <w:t>агрохимикатами</w:t>
      </w:r>
      <w:r>
        <w:rPr>
          <w:sz w:val="26"/>
        </w:rPr>
        <w:t xml:space="preserve">»  </w:t>
      </w:r>
    </w:p>
    <w:p w14:paraId="06000000">
      <w:pPr>
        <w:spacing w:line="360" w:lineRule="auto"/>
        <w:ind w:firstLine="709" w:left="0"/>
        <w:jc w:val="both"/>
        <w:rPr>
          <w:sz w:val="26"/>
        </w:rPr>
      </w:pPr>
    </w:p>
    <w:p w14:paraId="07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Минэкономразвития России в соответствии с разделом IV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"consultantplus://offline/ref=CBA08EE99C2022DE71ADFECAE9577BE72075799551A3462E21629B24CE791004B53157828517DCAFT4f9P"</w:instrText>
      </w:r>
      <w:r>
        <w:rPr>
          <w:sz w:val="26"/>
        </w:rPr>
        <w:fldChar w:fldCharType="separate"/>
      </w:r>
      <w:r>
        <w:rPr>
          <w:sz w:val="26"/>
        </w:rPr>
        <w:t>Правил</w:t>
      </w:r>
      <w:r>
        <w:rPr>
          <w:sz w:val="26"/>
        </w:rPr>
        <w:fldChar w:fldCharType="end"/>
      </w:r>
      <w:r>
        <w:rPr>
          <w:sz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6"/>
        </w:rPr>
        <w:br/>
      </w:r>
      <w:r>
        <w:rPr>
          <w:sz w:val="26"/>
        </w:rPr>
        <w:t xml:space="preserve">от 17 декабря 2012 г. № 1318 (далее – Правила),  рассмотрело проект федерального закона «О внесении изменений в отдельные законодательные акты Российской Федерации в части совершенствования надзора в области безопасного обращения с пестицидами </w:t>
      </w:r>
      <w:r>
        <w:rPr>
          <w:sz w:val="26"/>
        </w:rPr>
        <w:br/>
      </w:r>
      <w:r>
        <w:rPr>
          <w:sz w:val="26"/>
        </w:rPr>
        <w:t xml:space="preserve">и </w:t>
      </w:r>
      <w:r>
        <w:rPr>
          <w:sz w:val="26"/>
        </w:rPr>
        <w:t>агрохимикатами</w:t>
      </w:r>
      <w:r>
        <w:rPr>
          <w:sz w:val="26"/>
        </w:rPr>
        <w:t xml:space="preserve">» (далее – проект акта), подготовленный и направленный для подготовки настоящего заключения Минсельхозом России (далее – разработчик), и сообщает следующее.  </w:t>
      </w:r>
    </w:p>
    <w:p w14:paraId="08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Проект акта направлен разработчиком для подготовки настоящего заключения повторно. Отрицательное заключение об оценке регулирующего воздействия (далее – заключение об ОРВ) было направлено разработчику письмом Минэкономразвития России от 28 сентября 2018 г.№ 27917-СШ/Д26и. Доработанный в соответствии с замечаниями, изложенными в заключении об ОРВ, проект акта был рассмотрен Минэкономразвития России и замечания к доработанному проекту акта были направлены разработчику письмом Минэкономразвития России от 3 марта 2019 г. № 7411-ВЖ/Д24и (далее – Письмо), которые не учтены в проекте акта.</w:t>
      </w:r>
    </w:p>
    <w:p w14:paraId="09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По результатам рассмотрения установлено, что при подготовке проекта акта процедуры, предусмотренные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"consultantplus://offline/ref=CBA08EE99C2022DE71ADFECAE9577BE72075799551A3462E21629B24CE791004B53157828517DCA9T4fAP"</w:instrText>
      </w:r>
      <w:r>
        <w:rPr>
          <w:sz w:val="26"/>
        </w:rPr>
        <w:fldChar w:fldCharType="separate"/>
      </w:r>
      <w:r>
        <w:rPr>
          <w:sz w:val="26"/>
        </w:rPr>
        <w:t>пунктами 9</w:t>
      </w:r>
      <w:r>
        <w:rPr>
          <w:sz w:val="26"/>
        </w:rPr>
        <w:fldChar w:fldCharType="end"/>
      </w:r>
      <w:r>
        <w:rPr>
          <w:sz w:val="26"/>
        </w:rPr>
        <w:t xml:space="preserve"> –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"consultantplus://offline/ref=CBA08EE99C2022DE71ADFECAE9577BE72075799551A3462E21629B24CE791004B53157828517DDADT4fFP"</w:instrText>
      </w:r>
      <w:r>
        <w:rPr>
          <w:sz w:val="26"/>
        </w:rPr>
        <w:fldChar w:fldCharType="separate"/>
      </w:r>
      <w:r>
        <w:rPr>
          <w:sz w:val="26"/>
        </w:rPr>
        <w:t>23</w:t>
      </w:r>
      <w:r>
        <w:rPr>
          <w:sz w:val="26"/>
        </w:rPr>
        <w:fldChar w:fldCharType="end"/>
      </w:r>
      <w:r>
        <w:rPr>
          <w:sz w:val="26"/>
        </w:rPr>
        <w:t xml:space="preserve"> правил проведения оценки регулирующего воздействия, разработчиком соблюдены. </w:t>
      </w:r>
    </w:p>
    <w:p w14:paraId="0A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Разработчиком проведены публичные обсуждения проекта акта и сводного отчета </w:t>
      </w:r>
      <w:r>
        <w:rPr>
          <w:sz w:val="26"/>
        </w:rPr>
        <w:br/>
      </w:r>
      <w:r>
        <w:rPr>
          <w:sz w:val="26"/>
        </w:rPr>
        <w:t xml:space="preserve">в срок с 17 июня по 5 июля 2019 года. Предложения, полученные в рамках проведения обсуждения проекта акта и сводного отчета, были прокомментированы разработчиком </w:t>
      </w:r>
      <w:r>
        <w:rPr>
          <w:sz w:val="26"/>
        </w:rPr>
        <w:br/>
      </w:r>
      <w:r>
        <w:rPr>
          <w:sz w:val="26"/>
        </w:rPr>
        <w:t xml:space="preserve">и включены в сводку замечаний и предложений по итогам размещения текста проекта. </w:t>
      </w:r>
    </w:p>
    <w:p w14:paraId="0B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 02/04/05-19/00091259).</w:t>
      </w:r>
    </w:p>
    <w:p w14:paraId="0C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Необходимо отметить, что разработчик частично учел замечания, изложенные </w:t>
      </w:r>
      <w:r>
        <w:rPr>
          <w:sz w:val="26"/>
        </w:rPr>
        <w:br/>
      </w:r>
      <w:r>
        <w:rPr>
          <w:sz w:val="26"/>
        </w:rPr>
        <w:t>в заключении об ОРВ и Письме. Однако к доработанному проекту акта имеются следующие замечания.</w:t>
      </w:r>
    </w:p>
    <w:p w14:paraId="0D000000">
      <w:pPr>
        <w:numPr>
          <w:ilvl w:val="0"/>
          <w:numId w:val="1"/>
        </w:num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Проектируемой статей 14 Федерального закона от 19 июля 1997 г. № 109-ФЗ «О безопасном обращении с пестицидами и </w:t>
      </w:r>
      <w:r>
        <w:rPr>
          <w:sz w:val="26"/>
        </w:rPr>
        <w:t>агрохимикатами</w:t>
      </w:r>
      <w:r>
        <w:rPr>
          <w:sz w:val="26"/>
        </w:rPr>
        <w:t xml:space="preserve">» (далее – Закон № 109-ФЗ) разработчик указывает, что обязательные требования безопасности к пестицидам </w:t>
      </w:r>
      <w:r>
        <w:rPr>
          <w:sz w:val="26"/>
        </w:rPr>
        <w:br/>
      </w:r>
      <w:r>
        <w:rPr>
          <w:sz w:val="26"/>
        </w:rPr>
        <w:t xml:space="preserve">и </w:t>
      </w:r>
      <w:r>
        <w:rPr>
          <w:sz w:val="26"/>
        </w:rPr>
        <w:t>агрохимикатам</w:t>
      </w:r>
      <w:r>
        <w:rPr>
          <w:sz w:val="26"/>
        </w:rPr>
        <w:t>, процессам их применения, правилам и формам оценки соответствия устанавливаются в соответствии с договорно-правовой базой Евразийского экономического союза</w:t>
      </w:r>
      <w:r>
        <w:rPr>
          <w:sz w:val="26"/>
        </w:rPr>
        <w:t xml:space="preserve"> (далее – Союз)</w:t>
      </w:r>
      <w:r>
        <w:rPr>
          <w:sz w:val="26"/>
        </w:rPr>
        <w:t xml:space="preserve"> и законодательством Российской Федерации в области технического регулирования.</w:t>
      </w:r>
    </w:p>
    <w:p w14:paraId="0E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Одновременно пунктом 1 части 2 проектируемой статьи 15 Закона № 109-ФЗ разработчик устанавливает, что досмотр, осмотр партий пестицидов и </w:t>
      </w:r>
      <w:r>
        <w:rPr>
          <w:sz w:val="26"/>
        </w:rPr>
        <w:t>агрохимикатов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с отбором проб и (или) образцов пестицидов и </w:t>
      </w:r>
      <w:r>
        <w:rPr>
          <w:sz w:val="26"/>
        </w:rPr>
        <w:t>агрохимикатов</w:t>
      </w:r>
      <w:r>
        <w:rPr>
          <w:sz w:val="26"/>
        </w:rPr>
        <w:t xml:space="preserve"> для проведения лабораторных исследований осуществляется в целях определения их соответствия обязательным требованиям, установленным законодательством Российской Федерации в сфере технического регулирования.</w:t>
      </w:r>
    </w:p>
    <w:p w14:paraId="0F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При этом в соответствии с законодательством Российской Федерации обязательные требования безопасности, связанные с испытаниями, хранением, перевозкой, реализацией, применением, обезвреживанием и утилизацией пестицидов и </w:t>
      </w:r>
      <w:r>
        <w:rPr>
          <w:sz w:val="26"/>
        </w:rPr>
        <w:t>агрохимикатов</w:t>
      </w:r>
      <w:r>
        <w:rPr>
          <w:sz w:val="26"/>
        </w:rPr>
        <w:t xml:space="preserve">, в Российской Федерации установлены законодательством в сфере санитарно-эпидемиологического благополучия. </w:t>
      </w:r>
    </w:p>
    <w:p w14:paraId="10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Считаем необходимым</w:t>
      </w:r>
      <w:r>
        <w:rPr>
          <w:sz w:val="26"/>
        </w:rPr>
        <w:t xml:space="preserve"> согласовать друг с другом указанные положения и привести их в соответствие с Правом Союза.</w:t>
      </w:r>
    </w:p>
    <w:p w14:paraId="11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Разработчик при разработке проекта акта не учел, что в настоящее время соблюдение обязательных требований в части оборота пестицидов и </w:t>
      </w:r>
      <w:r>
        <w:rPr>
          <w:rFonts w:ascii="Times New Roman" w:hAnsi="Times New Roman"/>
          <w:sz w:val="26"/>
        </w:rPr>
        <w:t>агрохимикатов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уже является предметом проверки при осуществлении, например, санитарно-эпидемиологического, ветеринарного, экологического надзора. Как ранее отмечалось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в заключении об ОРВ и Письме, закрепление государственного контроля (надзора) в области безопасного обращения с пестицидами и </w:t>
      </w:r>
      <w:r>
        <w:rPr>
          <w:rFonts w:ascii="Times New Roman" w:hAnsi="Times New Roman"/>
          <w:sz w:val="26"/>
        </w:rPr>
        <w:t>агрохимикатами</w:t>
      </w:r>
      <w:r>
        <w:rPr>
          <w:rFonts w:ascii="Times New Roman" w:hAnsi="Times New Roman"/>
          <w:sz w:val="26"/>
        </w:rPr>
        <w:t xml:space="preserve"> в качестве самостоятельного вида государственного контроля (надзора) может быть поддержано только при наличии самостоятельного предмета надзора. Разработчик в проекте акта не определил предмет надзора в области безопасного обращения с пестицидами и </w:t>
      </w:r>
      <w:r>
        <w:rPr>
          <w:rFonts w:ascii="Times New Roman" w:hAnsi="Times New Roman"/>
          <w:sz w:val="26"/>
        </w:rPr>
        <w:t>агрохимикатами</w:t>
      </w:r>
      <w:r>
        <w:rPr>
          <w:rFonts w:ascii="Times New Roman" w:hAnsi="Times New Roman"/>
          <w:sz w:val="26"/>
        </w:rPr>
        <w:t>, не охваченный упомянутыми видами государственного контроля (надзора).</w:t>
      </w:r>
    </w:p>
    <w:p w14:paraId="12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Предлагаемое проектом акта регулирование может привести к дублированию осуществления государственного контроля (надзора) в области безопасного обращения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с пестицидами и </w:t>
      </w:r>
      <w:r>
        <w:rPr>
          <w:rFonts w:ascii="Times New Roman" w:hAnsi="Times New Roman"/>
          <w:sz w:val="26"/>
        </w:rPr>
        <w:t>агрохимикатами</w:t>
      </w:r>
      <w:r>
        <w:rPr>
          <w:rFonts w:ascii="Times New Roman" w:hAnsi="Times New Roman"/>
          <w:sz w:val="26"/>
        </w:rPr>
        <w:t>, в том числе в пунктах пропуска через Государственную границу Российской Федерации, с указанными видами государственного надзора, что не может быть поддержано.</w:t>
      </w:r>
    </w:p>
    <w:p w14:paraId="13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Пунктом 3 проектируемой статьи 15 Закона № 109-ФЗ разработчик предусматривает осуществление государственного контроля (надзора) в области безопасного обращения с пестицидами и </w:t>
      </w:r>
      <w:r>
        <w:rPr>
          <w:rFonts w:ascii="Times New Roman" w:hAnsi="Times New Roman"/>
          <w:sz w:val="26"/>
        </w:rPr>
        <w:t>агрохимикатами</w:t>
      </w:r>
      <w:r>
        <w:rPr>
          <w:rFonts w:ascii="Times New Roman" w:hAnsi="Times New Roman"/>
          <w:sz w:val="26"/>
        </w:rPr>
        <w:t xml:space="preserve"> в местах производства продукции растительного происхождения, предназначенной для ввоза в Российскую Федерацию,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т.е. на территории государств-членов Союза и на территории третьих стран. Указанное проектируемое положение не соответствует положениям Договора о Евразийском экономическом союзе. Данный вопрос регулируется международными договорами в рамках Союза и международны</w:t>
      </w:r>
      <w:r>
        <w:rPr>
          <w:rFonts w:ascii="Times New Roman" w:hAnsi="Times New Roman"/>
          <w:sz w:val="26"/>
        </w:rPr>
        <w:t>ми</w:t>
      </w:r>
      <w:r>
        <w:rPr>
          <w:rFonts w:ascii="Times New Roman" w:hAnsi="Times New Roman"/>
          <w:sz w:val="26"/>
        </w:rPr>
        <w:t xml:space="preserve"> договор</w:t>
      </w:r>
      <w:r>
        <w:rPr>
          <w:rFonts w:ascii="Times New Roman" w:hAnsi="Times New Roman"/>
          <w:sz w:val="26"/>
        </w:rPr>
        <w:t>ами Союза с третьей стороной.</w:t>
      </w:r>
      <w:r>
        <w:rPr>
          <w:rFonts w:ascii="Times New Roman" w:hAnsi="Times New Roman"/>
          <w:sz w:val="26"/>
        </w:rPr>
        <w:t xml:space="preserve"> В связи с этим полагаем, что данное проектируемое положение является избыточным.</w:t>
      </w:r>
    </w:p>
    <w:p w14:paraId="14000000">
      <w:pPr>
        <w:numPr>
          <w:ilvl w:val="0"/>
          <w:numId w:val="1"/>
        </w:numPr>
        <w:spacing w:line="360" w:lineRule="auto"/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 xml:space="preserve">Обращаем внимание, что проектом акта предполагается беспрепятственное </w:t>
      </w:r>
      <w:r>
        <w:rPr>
          <w:sz w:val="26"/>
        </w:rPr>
        <w:br/>
      </w:r>
      <w:r>
        <w:rPr>
          <w:sz w:val="26"/>
        </w:rPr>
        <w:t xml:space="preserve">(по предъявлении служебного удостоверения) посещение должностными лицами объектов, связанных с производством пестицидов и </w:t>
      </w:r>
      <w:r>
        <w:rPr>
          <w:sz w:val="26"/>
        </w:rPr>
        <w:t>агрохимикатов</w:t>
      </w:r>
      <w:r>
        <w:rPr>
          <w:sz w:val="26"/>
        </w:rPr>
        <w:t>. Вместе с тем, производственные объекты, на которых осуществляется производство пестицидов, минеральных удобрений являются опасными</w:t>
      </w:r>
      <w:r>
        <w:rPr>
          <w:sz w:val="26"/>
        </w:rPr>
        <w:t xml:space="preserve"> производственными объектами</w:t>
      </w:r>
      <w:r>
        <w:rPr>
          <w:sz w:val="26"/>
        </w:rPr>
        <w:t>, на территориях которых устанавливается особый пропускной режим, соответствующий установленному классу опасности. Необходимо учитывать указанное обстоятельство при проектировании положений о правах должностных лиц, осуществляющих проверки подобных производственных объектов.</w:t>
      </w:r>
    </w:p>
    <w:p w14:paraId="15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регулирования, а также сделан вывод, что проект акта содержит положения, вводящие избыточные обязанности, запреты и ограничения для физических </w:t>
      </w:r>
      <w:r>
        <w:rPr>
          <w:sz w:val="26"/>
        </w:rPr>
        <w:br/>
      </w:r>
      <w:r>
        <w:rPr>
          <w:sz w:val="26"/>
        </w:rPr>
        <w:t xml:space="preserve"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</w:t>
      </w:r>
      <w:r>
        <w:rPr>
          <w:sz w:val="26"/>
        </w:rPr>
        <w:br/>
      </w:r>
      <w:r>
        <w:rPr>
          <w:sz w:val="26"/>
        </w:rPr>
        <w:t>и иной экономической деятельности, а также бюджетов всех уровней бюджетной системы Российской Федерации.</w:t>
      </w:r>
    </w:p>
    <w:p w14:paraId="16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1069"/>
      </w:pPr>
    </w:lvl>
    <w:lvl w:ilvl="1">
      <w:start w:val="1"/>
      <w:numFmt w:val="lowerLetter"/>
      <w:lvlText w:val="%2."/>
      <w:pPr>
        <w:ind w:hanging="360" w:left="1789"/>
      </w:pPr>
    </w:lvl>
    <w:lvl w:ilvl="2">
      <w:start w:val="1"/>
      <w:numFmt w:val="lowerRoman"/>
      <w:lvlText w:val="%3."/>
      <w:pPr>
        <w:ind w:hanging="180" w:left="2509"/>
      </w:pPr>
    </w:lvl>
    <w:lvl w:ilvl="3">
      <w:start w:val="1"/>
      <w:numFmt w:val="decimal"/>
      <w:lvlText w:val="%4."/>
      <w:pPr>
        <w:ind w:hanging="360" w:left="3229"/>
      </w:pPr>
    </w:lvl>
    <w:lvl w:ilvl="4">
      <w:start w:val="1"/>
      <w:numFmt w:val="lowerLetter"/>
      <w:lvlText w:val="%5."/>
      <w:pPr>
        <w:ind w:hanging="360" w:left="3949"/>
      </w:pPr>
    </w:lvl>
    <w:lvl w:ilvl="5">
      <w:start w:val="1"/>
      <w:numFmt w:val="lowerRoman"/>
      <w:lvlText w:val="%6."/>
      <w:pPr>
        <w:ind w:hanging="180" w:left="4669"/>
      </w:pPr>
    </w:lvl>
    <w:lvl w:ilvl="6">
      <w:start w:val="1"/>
      <w:numFmt w:val="decimal"/>
      <w:lvlText w:val="%7."/>
      <w:pPr>
        <w:ind w:hanging="360" w:left="5389"/>
      </w:pPr>
    </w:lvl>
    <w:lvl w:ilvl="7">
      <w:start w:val="1"/>
      <w:numFmt w:val="lowerLetter"/>
      <w:lvlText w:val="%8."/>
      <w:pPr>
        <w:ind w:hanging="360" w:left="6109"/>
      </w:pPr>
    </w:lvl>
    <w:lvl w:ilvl="8">
      <w:start w:val="1"/>
      <w:numFmt w:val="lowerRoman"/>
      <w:lvlText w:val="%9.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  <w:rPr>
      <w:rFonts w:ascii="Cambria" w:hAnsi="Cambria"/>
    </w:rPr>
  </w:style>
  <w:style w:styleId="Style_1_ch" w:type="character">
    <w:name w:val="List Paragraph"/>
    <w:basedOn w:val="Style_2_ch"/>
    <w:link w:val="Style_1"/>
    <w:rPr>
      <w:rFonts w:ascii="Cambria" w:hAnsi="Cambria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