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E0" w:rsidRPr="00465855" w:rsidRDefault="00F77D9D" w:rsidP="003D15A2">
      <w:pPr>
        <w:shd w:val="clear" w:color="auto" w:fill="CCECFF"/>
        <w:spacing w:after="0" w:line="240" w:lineRule="auto"/>
        <w:ind w:firstLine="567"/>
        <w:jc w:val="center"/>
        <w:rPr>
          <w:rFonts w:ascii="Century Gothic" w:hAnsi="Century Gothic"/>
          <w:b/>
          <w:sz w:val="28"/>
          <w:szCs w:val="28"/>
        </w:rPr>
      </w:pPr>
      <w:r w:rsidRPr="00465855">
        <w:rPr>
          <w:rFonts w:ascii="Century Gothic" w:hAnsi="Century Gothic"/>
          <w:b/>
          <w:sz w:val="28"/>
          <w:szCs w:val="28"/>
        </w:rPr>
        <w:t xml:space="preserve">РЕГИОНАЛЬНЫЙ МОНИТОРИНГ </w:t>
      </w:r>
      <w:r w:rsidR="003654E0" w:rsidRPr="00465855">
        <w:rPr>
          <w:rFonts w:ascii="Century Gothic" w:hAnsi="Century Gothic"/>
          <w:b/>
          <w:sz w:val="28"/>
          <w:szCs w:val="28"/>
        </w:rPr>
        <w:t xml:space="preserve"> ОРВ И ЭКСПЕРТИЗЫ </w:t>
      </w:r>
    </w:p>
    <w:p w:rsidR="003654E0" w:rsidRPr="00465855" w:rsidRDefault="00D70796" w:rsidP="003D15A2">
      <w:pPr>
        <w:shd w:val="clear" w:color="auto" w:fill="CCECFF"/>
        <w:spacing w:after="0" w:line="240" w:lineRule="auto"/>
        <w:ind w:firstLine="567"/>
        <w:jc w:val="center"/>
        <w:rPr>
          <w:rFonts w:ascii="Century Gothic" w:hAnsi="Century Gothic"/>
          <w:b/>
          <w:sz w:val="28"/>
          <w:szCs w:val="28"/>
        </w:rPr>
      </w:pPr>
      <w:r w:rsidRPr="00C10EC8">
        <w:rPr>
          <w:rFonts w:ascii="Century Gothic" w:hAnsi="Century Gothic"/>
          <w:b/>
          <w:sz w:val="28"/>
          <w:szCs w:val="28"/>
        </w:rPr>
        <w:t xml:space="preserve">ЗА </w:t>
      </w:r>
      <w:r w:rsidR="00F46399" w:rsidRPr="00C10EC8">
        <w:rPr>
          <w:rFonts w:ascii="Century Gothic" w:hAnsi="Century Gothic"/>
          <w:b/>
          <w:sz w:val="28"/>
          <w:szCs w:val="28"/>
        </w:rPr>
        <w:t>АПРЕЛЬ</w:t>
      </w:r>
      <w:r w:rsidR="003654E0" w:rsidRPr="00465855">
        <w:rPr>
          <w:rFonts w:ascii="Century Gothic" w:hAnsi="Century Gothic"/>
          <w:b/>
          <w:sz w:val="28"/>
          <w:szCs w:val="28"/>
        </w:rPr>
        <w:t xml:space="preserve"> 2017 ГОДА</w:t>
      </w:r>
    </w:p>
    <w:p w:rsidR="003654E0" w:rsidRPr="00465855" w:rsidRDefault="003654E0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:rsidR="00EC3895" w:rsidRPr="00465855" w:rsidRDefault="00EC3895" w:rsidP="00EC3895">
      <w:pPr>
        <w:shd w:val="clear" w:color="auto" w:fill="CCECFF"/>
        <w:tabs>
          <w:tab w:val="left" w:pos="2700"/>
        </w:tabs>
        <w:spacing w:after="0" w:line="240" w:lineRule="auto"/>
        <w:ind w:firstLine="567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465855">
        <w:rPr>
          <w:rFonts w:ascii="Century Gothic" w:hAnsi="Century Gothic"/>
          <w:b/>
          <w:noProof/>
          <w:sz w:val="28"/>
          <w:szCs w:val="28"/>
          <w:lang w:eastAsia="ru-RU"/>
        </w:rPr>
        <w:t>ОБЩАЯ СТАТИСТИКА</w:t>
      </w:r>
    </w:p>
    <w:p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:rsidR="00FC3D5F" w:rsidRDefault="00EB2DA9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465855">
        <w:rPr>
          <w:rFonts w:ascii="Century Gothic" w:hAnsi="Century Gothic"/>
          <w:sz w:val="28"/>
          <w:szCs w:val="28"/>
        </w:rPr>
        <w:t xml:space="preserve">В </w:t>
      </w:r>
      <w:proofErr w:type="gramStart"/>
      <w:r w:rsidR="00734C7A">
        <w:rPr>
          <w:rFonts w:ascii="Century Gothic" w:hAnsi="Century Gothic"/>
          <w:sz w:val="28"/>
          <w:szCs w:val="28"/>
        </w:rPr>
        <w:t>апреле</w:t>
      </w:r>
      <w:proofErr w:type="gramEnd"/>
      <w:r w:rsidRPr="00465855">
        <w:rPr>
          <w:rFonts w:ascii="Century Gothic" w:hAnsi="Century Gothic"/>
          <w:sz w:val="28"/>
          <w:szCs w:val="28"/>
        </w:rPr>
        <w:t xml:space="preserve"> 2017 года в Департамент стратегического планирования области поступил </w:t>
      </w:r>
      <w:r w:rsidR="00734C7A">
        <w:rPr>
          <w:rFonts w:ascii="Century Gothic" w:hAnsi="Century Gothic"/>
          <w:sz w:val="28"/>
          <w:szCs w:val="28"/>
        </w:rPr>
        <w:t>29</w:t>
      </w:r>
      <w:r w:rsidRPr="00465855">
        <w:rPr>
          <w:rFonts w:ascii="Century Gothic" w:hAnsi="Century Gothic"/>
          <w:sz w:val="28"/>
          <w:szCs w:val="28"/>
        </w:rPr>
        <w:t xml:space="preserve"> проект</w:t>
      </w:r>
      <w:r w:rsidR="00734C7A">
        <w:rPr>
          <w:rFonts w:ascii="Century Gothic" w:hAnsi="Century Gothic"/>
          <w:sz w:val="28"/>
          <w:szCs w:val="28"/>
        </w:rPr>
        <w:t>ов</w:t>
      </w:r>
      <w:r w:rsidRPr="00465855">
        <w:rPr>
          <w:rFonts w:ascii="Century Gothic" w:hAnsi="Century Gothic"/>
          <w:sz w:val="28"/>
          <w:szCs w:val="28"/>
        </w:rPr>
        <w:t xml:space="preserve"> для подготовки заключения об оценке регулирующего воздействия. Из них </w:t>
      </w:r>
      <w:r w:rsidR="00734C7A">
        <w:rPr>
          <w:rFonts w:ascii="Century Gothic" w:hAnsi="Century Gothic"/>
          <w:sz w:val="28"/>
          <w:szCs w:val="28"/>
        </w:rPr>
        <w:t>1</w:t>
      </w:r>
      <w:r w:rsidRPr="00465855">
        <w:rPr>
          <w:rFonts w:ascii="Century Gothic" w:hAnsi="Century Gothic"/>
          <w:sz w:val="28"/>
          <w:szCs w:val="28"/>
        </w:rPr>
        <w:t xml:space="preserve"> был возвращен орган</w:t>
      </w:r>
      <w:r w:rsidR="00734C7A">
        <w:rPr>
          <w:rFonts w:ascii="Century Gothic" w:hAnsi="Century Gothic"/>
          <w:sz w:val="28"/>
          <w:szCs w:val="28"/>
        </w:rPr>
        <w:t>у</w:t>
      </w:r>
      <w:r w:rsidRPr="00465855">
        <w:rPr>
          <w:rFonts w:ascii="Century Gothic" w:hAnsi="Century Gothic"/>
          <w:sz w:val="28"/>
          <w:szCs w:val="28"/>
        </w:rPr>
        <w:t>-разработчик</w:t>
      </w:r>
      <w:r w:rsidR="00734C7A">
        <w:rPr>
          <w:rFonts w:ascii="Century Gothic" w:hAnsi="Century Gothic"/>
          <w:sz w:val="28"/>
          <w:szCs w:val="28"/>
        </w:rPr>
        <w:t>у</w:t>
      </w:r>
      <w:r w:rsidRPr="00465855">
        <w:rPr>
          <w:rFonts w:ascii="Century Gothic" w:hAnsi="Century Gothic"/>
          <w:sz w:val="28"/>
          <w:szCs w:val="28"/>
        </w:rPr>
        <w:t xml:space="preserve"> на доработку. </w:t>
      </w:r>
    </w:p>
    <w:p w:rsidR="00734C7A" w:rsidRPr="00465855" w:rsidRDefault="00734C7A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:rsidR="00FC3D5F" w:rsidRPr="00734C7A" w:rsidRDefault="00465855" w:rsidP="00465855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          </w:t>
      </w:r>
      <w:r w:rsidR="00734C7A">
        <w:rPr>
          <w:rFonts w:ascii="Century Gothic" w:hAnsi="Century Gothic"/>
          <w:b/>
          <w:i/>
          <w:sz w:val="28"/>
          <w:szCs w:val="28"/>
        </w:rPr>
        <w:t xml:space="preserve"> </w:t>
      </w:r>
    </w:p>
    <w:p w:rsidR="00486EAC" w:rsidRPr="00465855" w:rsidRDefault="00B46012" w:rsidP="00EB2DA9">
      <w:pPr>
        <w:ind w:firstLine="567"/>
        <w:jc w:val="center"/>
        <w:rPr>
          <w:rFonts w:ascii="Century Gothic" w:hAnsi="Century Gothic"/>
          <w:b/>
          <w:i/>
          <w:sz w:val="24"/>
          <w:szCs w:val="24"/>
        </w:rPr>
      </w:pPr>
      <w:r w:rsidRPr="00B46012">
        <w:rPr>
          <w:rFonts w:ascii="Century Gothic" w:hAnsi="Century Gothic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35pt;margin-top:11.4pt;width:197.55pt;height:82.85pt;z-index:251671552;mso-width-percent:400;mso-height-percent:200;mso-width-percent:400;mso-height-percent:200;mso-width-relative:margin;mso-height-relative:margin" strokecolor="white [3212]">
            <v:textbox style="mso-next-textbox:#_x0000_s1028;mso-fit-shape-to-text:t">
              <w:txbxContent>
                <w:p w:rsidR="00734C7A" w:rsidRPr="00F6470A" w:rsidRDefault="00734C7A" w:rsidP="00734C7A">
                  <w:pP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 w:rsidRPr="00F6470A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проектов, поступивших в </w:t>
                  </w:r>
                  <w:proofErr w:type="gramStart"/>
                  <w: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апреле</w:t>
                  </w:r>
                  <w:proofErr w:type="gramEnd"/>
                </w:p>
                <w:p w:rsidR="00734C7A" w:rsidRDefault="00734C7A" w:rsidP="00734C7A"/>
              </w:txbxContent>
            </v:textbox>
          </v:shape>
        </w:pict>
      </w:r>
      <w:r w:rsidR="00465855" w:rsidRPr="00465855">
        <w:rPr>
          <w:rFonts w:ascii="Century Gothic" w:hAnsi="Century Gothic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686300" cy="22860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B5A" w:rsidRPr="00465855" w:rsidRDefault="00C81B5A" w:rsidP="00065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Calibri"/>
          <w:sz w:val="28"/>
          <w:szCs w:val="28"/>
        </w:rPr>
      </w:pPr>
      <w:r w:rsidRPr="00465855">
        <w:rPr>
          <w:rFonts w:ascii="Century Gothic" w:hAnsi="Century Gothic" w:cs="Calibri"/>
          <w:sz w:val="28"/>
          <w:szCs w:val="28"/>
        </w:rPr>
        <w:t xml:space="preserve">В </w:t>
      </w:r>
      <w:r w:rsidR="003545D9">
        <w:rPr>
          <w:rFonts w:ascii="Century Gothic" w:hAnsi="Century Gothic" w:cs="Calibri"/>
          <w:sz w:val="28"/>
          <w:szCs w:val="28"/>
        </w:rPr>
        <w:t>апреле</w:t>
      </w:r>
      <w:r w:rsidRPr="00465855">
        <w:rPr>
          <w:rFonts w:ascii="Century Gothic" w:hAnsi="Century Gothic" w:cs="Calibri"/>
          <w:sz w:val="28"/>
          <w:szCs w:val="28"/>
        </w:rPr>
        <w:t xml:space="preserve"> подготовлено </w:t>
      </w:r>
      <w:r w:rsidR="003545D9">
        <w:rPr>
          <w:rFonts w:ascii="Century Gothic" w:hAnsi="Century Gothic" w:cs="Calibri"/>
          <w:sz w:val="28"/>
          <w:szCs w:val="28"/>
        </w:rPr>
        <w:t>31</w:t>
      </w:r>
      <w:r w:rsidRPr="00465855">
        <w:rPr>
          <w:rFonts w:ascii="Century Gothic" w:hAnsi="Century Gothic" w:cs="Calibri"/>
          <w:sz w:val="28"/>
          <w:szCs w:val="28"/>
        </w:rPr>
        <w:t xml:space="preserve"> заключени</w:t>
      </w:r>
      <w:r w:rsidR="003545D9">
        <w:rPr>
          <w:rFonts w:ascii="Century Gothic" w:hAnsi="Century Gothic" w:cs="Calibri"/>
          <w:sz w:val="28"/>
          <w:szCs w:val="28"/>
        </w:rPr>
        <w:t>е</w:t>
      </w:r>
      <w:r w:rsidRPr="00465855">
        <w:rPr>
          <w:rFonts w:ascii="Century Gothic" w:hAnsi="Century Gothic" w:cs="Calibri"/>
          <w:sz w:val="28"/>
          <w:szCs w:val="28"/>
        </w:rPr>
        <w:t xml:space="preserve"> об оценке регулирующего воздействия</w:t>
      </w:r>
      <w:r w:rsidR="006A3CB4" w:rsidRPr="00465855">
        <w:rPr>
          <w:rFonts w:ascii="Century Gothic" w:hAnsi="Century Gothic" w:cs="Calibri"/>
          <w:sz w:val="28"/>
          <w:szCs w:val="28"/>
        </w:rPr>
        <w:t xml:space="preserve">, больший удельный вес занимают заключения на проекты, подготовленные </w:t>
      </w:r>
      <w:r w:rsidR="003545D9">
        <w:rPr>
          <w:rFonts w:ascii="Century Gothic" w:hAnsi="Century Gothic" w:cs="Calibri"/>
          <w:sz w:val="28"/>
          <w:szCs w:val="28"/>
        </w:rPr>
        <w:t xml:space="preserve">Департаментом имущественных отношений области и </w:t>
      </w:r>
      <w:r w:rsidR="006A3CB4" w:rsidRPr="00465855">
        <w:rPr>
          <w:rFonts w:ascii="Century Gothic" w:hAnsi="Century Gothic" w:cs="Calibri"/>
          <w:sz w:val="28"/>
          <w:szCs w:val="28"/>
        </w:rPr>
        <w:t xml:space="preserve">Департаментом сельского хозяйства и </w:t>
      </w:r>
      <w:proofErr w:type="gramStart"/>
      <w:r w:rsidR="006A3CB4" w:rsidRPr="00465855">
        <w:rPr>
          <w:rFonts w:ascii="Century Gothic" w:hAnsi="Century Gothic" w:cs="Calibri"/>
          <w:sz w:val="28"/>
          <w:szCs w:val="28"/>
        </w:rPr>
        <w:t>про</w:t>
      </w:r>
      <w:r w:rsidR="003545D9">
        <w:rPr>
          <w:rFonts w:ascii="Century Gothic" w:hAnsi="Century Gothic" w:cs="Calibri"/>
          <w:sz w:val="28"/>
          <w:szCs w:val="28"/>
        </w:rPr>
        <w:t>довольственных</w:t>
      </w:r>
      <w:proofErr w:type="gramEnd"/>
      <w:r w:rsidR="003545D9">
        <w:rPr>
          <w:rFonts w:ascii="Century Gothic" w:hAnsi="Century Gothic" w:cs="Calibri"/>
          <w:sz w:val="28"/>
          <w:szCs w:val="28"/>
        </w:rPr>
        <w:t xml:space="preserve"> ресурсов области</w:t>
      </w:r>
      <w:r w:rsidR="006A3CB4" w:rsidRPr="00465855">
        <w:rPr>
          <w:rFonts w:ascii="Century Gothic" w:hAnsi="Century Gothic" w:cs="Calibri"/>
          <w:sz w:val="28"/>
          <w:szCs w:val="28"/>
        </w:rPr>
        <w:t>.</w:t>
      </w:r>
    </w:p>
    <w:p w:rsidR="00465855" w:rsidRDefault="00465855" w:rsidP="006A3CB4">
      <w:pPr>
        <w:ind w:firstLine="567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465855" w:rsidRPr="00465855" w:rsidRDefault="00B46012" w:rsidP="006A3CB4">
      <w:pPr>
        <w:ind w:firstLine="567"/>
        <w:jc w:val="center"/>
        <w:rPr>
          <w:rFonts w:ascii="Century Gothic" w:hAnsi="Century Gothic" w:cs="Calibri"/>
          <w:sz w:val="28"/>
          <w:szCs w:val="28"/>
        </w:rPr>
      </w:pPr>
      <w:r w:rsidRPr="00B46012">
        <w:rPr>
          <w:rFonts w:ascii="Century Gothic" w:hAnsi="Century Gothic"/>
          <w:b/>
          <w:i/>
          <w:noProof/>
          <w:sz w:val="24"/>
          <w:szCs w:val="24"/>
        </w:rPr>
        <w:pict>
          <v:shape id="_x0000_s1026" type="#_x0000_t202" style="position:absolute;left:0;text-align:left;margin-left:304.1pt;margin-top:72.15pt;width:201.9pt;height:142.1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C50C26" w:rsidRPr="00F6470A" w:rsidRDefault="00C50C26" w:rsidP="00C50C26">
                  <w:pPr>
                    <w:ind w:firstLine="567"/>
                    <w:jc w:val="center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 w:rsidRPr="00F6470A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Количество подготовленных в </w:t>
                  </w:r>
                  <w:r w:rsidR="003545D9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апреле</w:t>
                  </w:r>
                  <w:r w:rsidRPr="00F6470A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F6470A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заключений по ОРВ в разрезе органов – разработчиков</w:t>
                  </w:r>
                </w:p>
                <w:p w:rsidR="00C50C26" w:rsidRDefault="00C50C26"/>
              </w:txbxContent>
            </v:textbox>
          </v:shape>
        </w:pict>
      </w:r>
      <w:r w:rsidR="00465855" w:rsidRPr="00465855">
        <w:rPr>
          <w:rFonts w:ascii="Century Gothic" w:hAnsi="Century Gothic" w:cs="Calibri"/>
          <w:noProof/>
          <w:sz w:val="28"/>
          <w:szCs w:val="28"/>
          <w:lang w:eastAsia="ru-RU"/>
        </w:rPr>
        <w:drawing>
          <wp:inline distT="0" distB="0" distL="0" distR="0">
            <wp:extent cx="5229225" cy="28003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D07" w:rsidRPr="00465855" w:rsidRDefault="00E56D07" w:rsidP="00065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Calibri"/>
          <w:sz w:val="28"/>
          <w:szCs w:val="28"/>
        </w:rPr>
      </w:pPr>
    </w:p>
    <w:p w:rsidR="003654E0" w:rsidRPr="00465855" w:rsidRDefault="003654E0" w:rsidP="003D15A2">
      <w:pPr>
        <w:shd w:val="clear" w:color="auto" w:fill="CCECFF"/>
        <w:tabs>
          <w:tab w:val="left" w:pos="2700"/>
        </w:tabs>
        <w:spacing w:after="0" w:line="240" w:lineRule="auto"/>
        <w:ind w:firstLine="567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465855">
        <w:rPr>
          <w:rFonts w:ascii="Century Gothic" w:hAnsi="Century Gothic"/>
          <w:b/>
          <w:noProof/>
          <w:sz w:val="28"/>
          <w:szCs w:val="28"/>
          <w:lang w:eastAsia="ru-RU"/>
        </w:rPr>
        <w:lastRenderedPageBreak/>
        <w:t>ОТРИЦАТЕЛЬНЫЕ ЗАКЛЮЧЕНИЯ</w:t>
      </w:r>
    </w:p>
    <w:p w:rsidR="00174549" w:rsidRPr="00465855" w:rsidRDefault="00B722E0" w:rsidP="00916826">
      <w:pPr>
        <w:shd w:val="clear" w:color="auto" w:fill="FFFFFF" w:themeFill="background1"/>
        <w:tabs>
          <w:tab w:val="left" w:pos="2700"/>
        </w:tabs>
        <w:spacing w:after="0" w:line="240" w:lineRule="auto"/>
        <w:ind w:firstLine="567"/>
        <w:jc w:val="both"/>
        <w:rPr>
          <w:rFonts w:ascii="Century Gothic" w:hAnsi="Century Gothic"/>
          <w:noProof/>
          <w:sz w:val="28"/>
          <w:szCs w:val="28"/>
          <w:lang w:eastAsia="ru-RU"/>
        </w:rPr>
      </w:pPr>
      <w:r w:rsidRPr="00465855">
        <w:rPr>
          <w:rFonts w:ascii="Century Gothic" w:hAnsi="Century Gothic"/>
          <w:noProof/>
          <w:sz w:val="28"/>
          <w:szCs w:val="28"/>
          <w:lang w:eastAsia="ru-RU"/>
        </w:rPr>
        <w:t>Два</w:t>
      </w:r>
      <w:r w:rsidR="00174549" w:rsidRPr="00465855">
        <w:rPr>
          <w:rFonts w:ascii="Century Gothic" w:hAnsi="Century Gothic"/>
          <w:noProof/>
          <w:sz w:val="28"/>
          <w:szCs w:val="28"/>
          <w:lang w:eastAsia="ru-RU"/>
        </w:rPr>
        <w:t xml:space="preserve"> проект</w:t>
      </w:r>
      <w:r w:rsidRPr="00465855">
        <w:rPr>
          <w:rFonts w:ascii="Century Gothic" w:hAnsi="Century Gothic"/>
          <w:noProof/>
          <w:sz w:val="28"/>
          <w:szCs w:val="28"/>
          <w:lang w:eastAsia="ru-RU"/>
        </w:rPr>
        <w:t>а</w:t>
      </w:r>
      <w:r w:rsidR="00174549" w:rsidRPr="00465855">
        <w:rPr>
          <w:rFonts w:ascii="Century Gothic" w:hAnsi="Century Gothic"/>
          <w:noProof/>
          <w:sz w:val="28"/>
          <w:szCs w:val="28"/>
          <w:lang w:eastAsia="ru-RU"/>
        </w:rPr>
        <w:t xml:space="preserve"> в </w:t>
      </w:r>
      <w:r w:rsidR="006F48C8">
        <w:rPr>
          <w:rFonts w:ascii="Century Gothic" w:hAnsi="Century Gothic"/>
          <w:noProof/>
          <w:sz w:val="28"/>
          <w:szCs w:val="28"/>
          <w:lang w:eastAsia="ru-RU"/>
        </w:rPr>
        <w:t>апреле</w:t>
      </w:r>
      <w:r w:rsidR="00174549" w:rsidRPr="00465855">
        <w:rPr>
          <w:rFonts w:ascii="Century Gothic" w:hAnsi="Century Gothic"/>
          <w:noProof/>
          <w:sz w:val="28"/>
          <w:szCs w:val="28"/>
          <w:lang w:eastAsia="ru-RU"/>
        </w:rPr>
        <w:t xml:space="preserve">  </w:t>
      </w:r>
      <w:r w:rsidRPr="00465855">
        <w:rPr>
          <w:rFonts w:ascii="Century Gothic" w:hAnsi="Century Gothic"/>
          <w:noProof/>
          <w:sz w:val="28"/>
          <w:szCs w:val="28"/>
          <w:lang w:eastAsia="ru-RU"/>
        </w:rPr>
        <w:t xml:space="preserve">2017 года </w:t>
      </w:r>
      <w:r w:rsidR="00174549" w:rsidRPr="00465855">
        <w:rPr>
          <w:rFonts w:ascii="Century Gothic" w:hAnsi="Century Gothic"/>
          <w:noProof/>
          <w:sz w:val="28"/>
          <w:szCs w:val="28"/>
          <w:lang w:eastAsia="ru-RU"/>
        </w:rPr>
        <w:t>получил</w:t>
      </w:r>
      <w:r w:rsidR="00CD59F1" w:rsidRPr="00465855">
        <w:rPr>
          <w:rFonts w:ascii="Century Gothic" w:hAnsi="Century Gothic"/>
          <w:noProof/>
          <w:sz w:val="28"/>
          <w:szCs w:val="28"/>
          <w:lang w:eastAsia="ru-RU"/>
        </w:rPr>
        <w:t>и</w:t>
      </w:r>
      <w:r w:rsidR="00174549" w:rsidRPr="00465855">
        <w:rPr>
          <w:rFonts w:ascii="Century Gothic" w:hAnsi="Century Gothic"/>
          <w:noProof/>
          <w:sz w:val="28"/>
          <w:szCs w:val="28"/>
          <w:lang w:eastAsia="ru-RU"/>
        </w:rPr>
        <w:t xml:space="preserve"> отрицательное заключение.</w:t>
      </w:r>
    </w:p>
    <w:p w:rsidR="00916826" w:rsidRPr="00465855" w:rsidRDefault="00B46012" w:rsidP="00274826">
      <w:pPr>
        <w:pStyle w:val="a5"/>
        <w:tabs>
          <w:tab w:val="left" w:pos="2700"/>
        </w:tabs>
        <w:spacing w:after="0" w:line="240" w:lineRule="auto"/>
        <w:ind w:left="0" w:firstLine="567"/>
        <w:jc w:val="both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noProof/>
          <w:sz w:val="28"/>
          <w:szCs w:val="28"/>
        </w:rPr>
        <w:pict>
          <v:shape id="_x0000_s1027" type="#_x0000_t202" style="position:absolute;left:0;text-align:left;margin-left:142.1pt;margin-top:4.95pt;width:197.55pt;height:76.6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44973" w:rsidRPr="00F6470A" w:rsidRDefault="00544973" w:rsidP="00544973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6470A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F6470A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подготовленных</w:t>
                  </w:r>
                  <w:proofErr w:type="gramEnd"/>
                  <w:r w:rsidRPr="00F6470A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в </w:t>
                  </w:r>
                  <w:r w:rsidR="006F48C8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апреле</w:t>
                  </w:r>
                </w:p>
                <w:p w:rsidR="00544973" w:rsidRPr="00F6470A" w:rsidRDefault="00544973" w:rsidP="00544973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F6470A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заключений по ОРВ</w:t>
                  </w:r>
                </w:p>
              </w:txbxContent>
            </v:textbox>
          </v:shape>
        </w:pict>
      </w:r>
    </w:p>
    <w:p w:rsidR="00916826" w:rsidRPr="00465855" w:rsidRDefault="00916826" w:rsidP="00274826">
      <w:pPr>
        <w:pStyle w:val="a5"/>
        <w:tabs>
          <w:tab w:val="left" w:pos="2700"/>
        </w:tabs>
        <w:spacing w:after="0" w:line="240" w:lineRule="auto"/>
        <w:ind w:left="0" w:firstLine="567"/>
        <w:jc w:val="both"/>
        <w:rPr>
          <w:rFonts w:ascii="Century Gothic" w:hAnsi="Century Gothic"/>
          <w:b/>
          <w:i/>
          <w:sz w:val="28"/>
          <w:szCs w:val="28"/>
        </w:rPr>
      </w:pPr>
    </w:p>
    <w:p w:rsidR="00916826" w:rsidRPr="00465855" w:rsidRDefault="00544973" w:rsidP="00274826">
      <w:pPr>
        <w:pStyle w:val="a5"/>
        <w:tabs>
          <w:tab w:val="left" w:pos="2700"/>
        </w:tabs>
        <w:spacing w:after="0" w:line="240" w:lineRule="auto"/>
        <w:ind w:left="0" w:firstLine="567"/>
        <w:jc w:val="both"/>
        <w:rPr>
          <w:rFonts w:ascii="Century Gothic" w:hAnsi="Century Gothic"/>
          <w:b/>
          <w:i/>
          <w:sz w:val="28"/>
          <w:szCs w:val="28"/>
        </w:rPr>
      </w:pPr>
      <w:r w:rsidRPr="00544973">
        <w:rPr>
          <w:rFonts w:ascii="Century Gothic" w:hAnsi="Century Gothic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05450" cy="33718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470A" w:rsidRDefault="00F6470A" w:rsidP="006A7666">
      <w:pPr>
        <w:pStyle w:val="a5"/>
        <w:tabs>
          <w:tab w:val="left" w:pos="2700"/>
        </w:tabs>
        <w:spacing w:after="0" w:line="240" w:lineRule="auto"/>
        <w:ind w:left="0" w:firstLine="567"/>
        <w:jc w:val="both"/>
        <w:rPr>
          <w:rFonts w:ascii="Century Gothic" w:hAnsi="Century Gothic"/>
          <w:b/>
          <w:i/>
          <w:sz w:val="28"/>
          <w:szCs w:val="28"/>
        </w:rPr>
      </w:pPr>
    </w:p>
    <w:p w:rsidR="00274826" w:rsidRPr="00465855" w:rsidRDefault="00274826" w:rsidP="006A7666">
      <w:pPr>
        <w:pStyle w:val="a5"/>
        <w:tabs>
          <w:tab w:val="left" w:pos="2700"/>
        </w:tabs>
        <w:spacing w:after="0" w:line="240" w:lineRule="auto"/>
        <w:ind w:left="0" w:firstLine="567"/>
        <w:jc w:val="both"/>
        <w:rPr>
          <w:rFonts w:ascii="Century Gothic" w:eastAsia="Calibri" w:hAnsi="Century Gothic"/>
          <w:b/>
          <w:i/>
          <w:sz w:val="28"/>
          <w:szCs w:val="28"/>
        </w:rPr>
      </w:pPr>
      <w:r w:rsidRPr="00465855">
        <w:rPr>
          <w:rFonts w:ascii="Century Gothic" w:hAnsi="Century Gothic"/>
          <w:b/>
          <w:i/>
          <w:sz w:val="28"/>
          <w:szCs w:val="28"/>
        </w:rPr>
        <w:t xml:space="preserve">1) </w:t>
      </w:r>
      <w:r w:rsidR="001B7471" w:rsidRPr="001B7471">
        <w:rPr>
          <w:rFonts w:ascii="Century Gothic" w:hAnsi="Century Gothic"/>
          <w:b/>
          <w:sz w:val="28"/>
          <w:szCs w:val="28"/>
        </w:rPr>
        <w:t xml:space="preserve">проект постановления Правительства области «О </w:t>
      </w:r>
      <w:proofErr w:type="gramStart"/>
      <w:r w:rsidR="001B7471" w:rsidRPr="001B7471">
        <w:rPr>
          <w:rFonts w:ascii="Century Gothic" w:hAnsi="Century Gothic"/>
          <w:b/>
          <w:sz w:val="28"/>
          <w:szCs w:val="28"/>
        </w:rPr>
        <w:t>внесении</w:t>
      </w:r>
      <w:proofErr w:type="gramEnd"/>
      <w:r w:rsidR="001B7471" w:rsidRPr="001B7471">
        <w:rPr>
          <w:rFonts w:ascii="Century Gothic" w:hAnsi="Century Gothic"/>
          <w:b/>
          <w:sz w:val="28"/>
          <w:szCs w:val="28"/>
        </w:rPr>
        <w:t xml:space="preserve"> изменений в постановление Правительства области от 11 марта 2013 года № 252 «О проезде пассажиров автобусами в пригородном и междугородном сообщении по межмуниципальным маршрутам»</w:t>
      </w:r>
      <w:r w:rsidR="00872A29" w:rsidRPr="00465855">
        <w:rPr>
          <w:rStyle w:val="a8"/>
          <w:rFonts w:ascii="Century Gothic" w:eastAsia="Calibri" w:hAnsi="Century Gothic"/>
          <w:b/>
          <w:i/>
          <w:sz w:val="28"/>
          <w:szCs w:val="28"/>
        </w:rPr>
        <w:footnoteReference w:id="1"/>
      </w:r>
      <w:r w:rsidRPr="00465855">
        <w:rPr>
          <w:rFonts w:ascii="Century Gothic" w:eastAsia="Calibri" w:hAnsi="Century Gothic"/>
          <w:b/>
          <w:i/>
          <w:sz w:val="28"/>
          <w:szCs w:val="28"/>
        </w:rPr>
        <w:t>.</w:t>
      </w:r>
    </w:p>
    <w:p w:rsidR="001B7471" w:rsidRDefault="001B7471" w:rsidP="006A7666">
      <w:pPr>
        <w:spacing w:after="0" w:line="240" w:lineRule="auto"/>
        <w:ind w:firstLine="709"/>
        <w:jc w:val="both"/>
        <w:rPr>
          <w:rFonts w:ascii="Century Gothic" w:eastAsia="Calibri" w:hAnsi="Century Gothic"/>
          <w:sz w:val="28"/>
          <w:szCs w:val="28"/>
        </w:rPr>
      </w:pPr>
      <w:proofErr w:type="gramStart"/>
      <w:r w:rsidRPr="001B7471">
        <w:rPr>
          <w:rFonts w:ascii="Century Gothic" w:eastAsia="Calibri" w:hAnsi="Century Gothic"/>
          <w:sz w:val="28"/>
          <w:szCs w:val="28"/>
        </w:rPr>
        <w:t xml:space="preserve">Действующим регулированием установлена стоимость билетов на предъявителя и именных билетов на проезд автобусами в пригородном сообщении по межмуниципальным маршрутам, а также скидки на проезд автобусами в междугородном сообщении по межмуниципальным маршрутам отдельным категориям граждан. </w:t>
      </w:r>
      <w:proofErr w:type="gramEnd"/>
    </w:p>
    <w:p w:rsidR="001B7471" w:rsidRPr="001B7471" w:rsidRDefault="001B7471" w:rsidP="006A7666">
      <w:pPr>
        <w:spacing w:after="0" w:line="240" w:lineRule="auto"/>
        <w:ind w:firstLine="709"/>
        <w:jc w:val="both"/>
        <w:rPr>
          <w:rFonts w:ascii="Century Gothic" w:eastAsia="Calibri" w:hAnsi="Century Gothic"/>
          <w:sz w:val="28"/>
          <w:szCs w:val="28"/>
        </w:rPr>
      </w:pPr>
      <w:proofErr w:type="gramStart"/>
      <w:r w:rsidRPr="001B7471">
        <w:rPr>
          <w:rFonts w:ascii="Century Gothic" w:eastAsia="Calibri" w:hAnsi="Century Gothic"/>
          <w:sz w:val="28"/>
          <w:szCs w:val="28"/>
        </w:rPr>
        <w:t>Проектом акта предлага</w:t>
      </w:r>
      <w:r w:rsidR="0068536C">
        <w:rPr>
          <w:rFonts w:ascii="Century Gothic" w:eastAsia="Calibri" w:hAnsi="Century Gothic"/>
          <w:sz w:val="28"/>
          <w:szCs w:val="28"/>
        </w:rPr>
        <w:t>лось</w:t>
      </w:r>
      <w:r w:rsidRPr="001B7471">
        <w:rPr>
          <w:rFonts w:ascii="Century Gothic" w:eastAsia="Calibri" w:hAnsi="Century Gothic"/>
          <w:sz w:val="28"/>
          <w:szCs w:val="28"/>
        </w:rPr>
        <w:t xml:space="preserve"> ограничить круг лиц, имеющих право на получение скидки при приобретении месячных именных билетов на проезд автобусами в пригородном, междугородном сообщении по межмуниципальным маршрутам, лицами, в отношении которых органы государственной власти области осуществляют полномочия в сфере образования, а также ввести критерий </w:t>
      </w:r>
      <w:proofErr w:type="spellStart"/>
      <w:r w:rsidRPr="001B7471">
        <w:rPr>
          <w:rFonts w:ascii="Century Gothic" w:eastAsia="Calibri" w:hAnsi="Century Gothic"/>
          <w:sz w:val="28"/>
          <w:szCs w:val="28"/>
        </w:rPr>
        <w:t>адресности</w:t>
      </w:r>
      <w:proofErr w:type="spellEnd"/>
      <w:r w:rsidRPr="001B7471">
        <w:rPr>
          <w:rFonts w:ascii="Century Gothic" w:eastAsia="Calibri" w:hAnsi="Century Gothic"/>
          <w:sz w:val="28"/>
          <w:szCs w:val="28"/>
        </w:rPr>
        <w:t xml:space="preserve"> – среднедушевой доход семьи такого лица не превышает полуторную величину прожиточного минимума на душу </w:t>
      </w:r>
      <w:r w:rsidRPr="001B7471">
        <w:rPr>
          <w:rFonts w:ascii="Century Gothic" w:eastAsia="Calibri" w:hAnsi="Century Gothic"/>
          <w:sz w:val="28"/>
          <w:szCs w:val="28"/>
        </w:rPr>
        <w:lastRenderedPageBreak/>
        <w:t>населения, установленную нормативными</w:t>
      </w:r>
      <w:proofErr w:type="gramEnd"/>
      <w:r w:rsidRPr="001B7471">
        <w:rPr>
          <w:rFonts w:ascii="Century Gothic" w:eastAsia="Calibri" w:hAnsi="Century Gothic"/>
          <w:sz w:val="28"/>
          <w:szCs w:val="28"/>
        </w:rPr>
        <w:t xml:space="preserve"> правовыми актами области. Однако следует отметить, что обоснование предлагаемого к установлению размера среднедушевого дохода разработчиком не </w:t>
      </w:r>
      <w:r w:rsidR="0068536C">
        <w:rPr>
          <w:rFonts w:ascii="Century Gothic" w:eastAsia="Calibri" w:hAnsi="Century Gothic"/>
          <w:sz w:val="28"/>
          <w:szCs w:val="28"/>
        </w:rPr>
        <w:t xml:space="preserve">было </w:t>
      </w:r>
      <w:r w:rsidRPr="001B7471">
        <w:rPr>
          <w:rFonts w:ascii="Century Gothic" w:eastAsia="Calibri" w:hAnsi="Century Gothic"/>
          <w:sz w:val="28"/>
          <w:szCs w:val="28"/>
        </w:rPr>
        <w:t>представлено.</w:t>
      </w:r>
    </w:p>
    <w:p w:rsidR="006A7666" w:rsidRDefault="001B7471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proofErr w:type="gramStart"/>
      <w:r w:rsidRPr="001B7471">
        <w:rPr>
          <w:rFonts w:ascii="Century Gothic" w:eastAsia="Calibri" w:hAnsi="Century Gothic"/>
          <w:sz w:val="28"/>
          <w:szCs w:val="28"/>
        </w:rPr>
        <w:t>В связи с необходимостью соответствия всем критериям предоставления скидок, предлагаем</w:t>
      </w:r>
      <w:r w:rsidR="0068536C">
        <w:rPr>
          <w:rFonts w:ascii="Century Gothic" w:eastAsia="Calibri" w:hAnsi="Century Gothic"/>
          <w:sz w:val="28"/>
          <w:szCs w:val="28"/>
        </w:rPr>
        <w:t>ым</w:t>
      </w:r>
      <w:r w:rsidRPr="001B7471">
        <w:rPr>
          <w:rFonts w:ascii="Century Gothic" w:eastAsia="Calibri" w:hAnsi="Century Gothic"/>
          <w:sz w:val="28"/>
          <w:szCs w:val="28"/>
        </w:rPr>
        <w:t xml:space="preserve"> </w:t>
      </w:r>
      <w:r w:rsidR="00B8265D">
        <w:rPr>
          <w:rFonts w:ascii="Century Gothic" w:eastAsia="Calibri" w:hAnsi="Century Gothic"/>
          <w:sz w:val="28"/>
          <w:szCs w:val="28"/>
        </w:rPr>
        <w:t xml:space="preserve">к установлению </w:t>
      </w:r>
      <w:r w:rsidR="006A7666">
        <w:rPr>
          <w:rFonts w:ascii="Century Gothic" w:eastAsia="Calibri" w:hAnsi="Century Gothic"/>
          <w:sz w:val="28"/>
          <w:szCs w:val="28"/>
        </w:rPr>
        <w:t>п</w:t>
      </w:r>
      <w:r w:rsidRPr="001B7471">
        <w:rPr>
          <w:rFonts w:ascii="Century Gothic" w:eastAsia="Calibri" w:hAnsi="Century Gothic"/>
          <w:sz w:val="28"/>
          <w:szCs w:val="28"/>
        </w:rPr>
        <w:t xml:space="preserve">роектом, по данным участников публичных консультаций </w:t>
      </w:r>
      <w:r w:rsidRPr="001B7471">
        <w:rPr>
          <w:rFonts w:ascii="Century Gothic" w:hAnsi="Century Gothic"/>
          <w:sz w:val="28"/>
          <w:szCs w:val="28"/>
        </w:rPr>
        <w:t>при приобретении билета обучающийся должен иметь при себе несколько документов: справк</w:t>
      </w:r>
      <w:r w:rsidR="0068536C">
        <w:rPr>
          <w:rFonts w:ascii="Century Gothic" w:hAnsi="Century Gothic"/>
          <w:sz w:val="28"/>
          <w:szCs w:val="28"/>
        </w:rPr>
        <w:t>у</w:t>
      </w:r>
      <w:r w:rsidRPr="001B7471">
        <w:rPr>
          <w:rFonts w:ascii="Century Gothic" w:hAnsi="Century Gothic"/>
          <w:sz w:val="28"/>
          <w:szCs w:val="28"/>
        </w:rPr>
        <w:t xml:space="preserve"> о среднедушевом доходе семьи для получения скидок, документ, подтверждающий отнесение лица к одной из категорий пассажиров: справк</w:t>
      </w:r>
      <w:r w:rsidR="0068536C">
        <w:rPr>
          <w:rFonts w:ascii="Century Gothic" w:hAnsi="Century Gothic"/>
          <w:sz w:val="28"/>
          <w:szCs w:val="28"/>
        </w:rPr>
        <w:t>у</w:t>
      </w:r>
      <w:r w:rsidRPr="001B7471">
        <w:rPr>
          <w:rFonts w:ascii="Century Gothic" w:hAnsi="Century Gothic"/>
          <w:sz w:val="28"/>
          <w:szCs w:val="28"/>
        </w:rPr>
        <w:t xml:space="preserve"> общеобразовательной организации с фотографией обучающегося;</w:t>
      </w:r>
      <w:proofErr w:type="gramEnd"/>
      <w:r w:rsidRPr="001B7471">
        <w:rPr>
          <w:rFonts w:ascii="Century Gothic" w:hAnsi="Century Gothic"/>
          <w:sz w:val="28"/>
          <w:szCs w:val="28"/>
        </w:rPr>
        <w:t xml:space="preserve"> студенческий билет и справк</w:t>
      </w:r>
      <w:r w:rsidR="0068536C">
        <w:rPr>
          <w:rFonts w:ascii="Century Gothic" w:hAnsi="Century Gothic"/>
          <w:sz w:val="28"/>
          <w:szCs w:val="28"/>
        </w:rPr>
        <w:t>у</w:t>
      </w:r>
      <w:r w:rsidRPr="001B7471">
        <w:rPr>
          <w:rFonts w:ascii="Century Gothic" w:hAnsi="Century Gothic"/>
          <w:sz w:val="28"/>
          <w:szCs w:val="28"/>
        </w:rPr>
        <w:t xml:space="preserve"> учебного заведения о прохождении обучения по очной форме по образовательным программам среднего профессионального образования; справк</w:t>
      </w:r>
      <w:r w:rsidR="0068536C">
        <w:rPr>
          <w:rFonts w:ascii="Century Gothic" w:hAnsi="Century Gothic"/>
          <w:sz w:val="28"/>
          <w:szCs w:val="28"/>
        </w:rPr>
        <w:t>у</w:t>
      </w:r>
      <w:r w:rsidRPr="001B7471">
        <w:rPr>
          <w:rFonts w:ascii="Century Gothic" w:hAnsi="Century Gothic"/>
          <w:sz w:val="28"/>
          <w:szCs w:val="28"/>
        </w:rPr>
        <w:t xml:space="preserve"> профессиональной образовательной организации с фотографией обучающегося («статус-кво» - студенческий билет), что создаст неудобства и увеличение времени на обслуживание пассажиров.</w:t>
      </w:r>
    </w:p>
    <w:p w:rsidR="001B7471" w:rsidRPr="001B7471" w:rsidRDefault="001B7471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1B7471">
        <w:rPr>
          <w:rFonts w:ascii="Century Gothic" w:hAnsi="Century Gothic"/>
          <w:sz w:val="28"/>
          <w:szCs w:val="28"/>
        </w:rPr>
        <w:t xml:space="preserve"> Так участниками публичных консультаций отмечено, что в </w:t>
      </w:r>
      <w:proofErr w:type="gramStart"/>
      <w:r w:rsidRPr="001B7471">
        <w:rPr>
          <w:rFonts w:ascii="Century Gothic" w:hAnsi="Century Gothic"/>
          <w:sz w:val="28"/>
          <w:szCs w:val="28"/>
        </w:rPr>
        <w:t>среднем</w:t>
      </w:r>
      <w:proofErr w:type="gramEnd"/>
      <w:r w:rsidRPr="001B7471">
        <w:rPr>
          <w:rFonts w:ascii="Century Gothic" w:hAnsi="Century Gothic"/>
          <w:sz w:val="28"/>
          <w:szCs w:val="28"/>
        </w:rPr>
        <w:t xml:space="preserve"> время на обслуживание 1 получателя скидки увеличится на 2,8 минут. </w:t>
      </w:r>
    </w:p>
    <w:p w:rsidR="001B7471" w:rsidRDefault="001B7471" w:rsidP="006A7666">
      <w:pPr>
        <w:spacing w:after="0" w:line="240" w:lineRule="auto"/>
        <w:ind w:firstLine="709"/>
        <w:jc w:val="both"/>
        <w:rPr>
          <w:rFonts w:ascii="Century Gothic" w:eastAsia="Calibri" w:hAnsi="Century Gothic"/>
          <w:sz w:val="28"/>
          <w:szCs w:val="28"/>
        </w:rPr>
      </w:pPr>
      <w:r w:rsidRPr="001B7471">
        <w:rPr>
          <w:rFonts w:ascii="Century Gothic" w:eastAsia="Calibri" w:hAnsi="Century Gothic"/>
          <w:sz w:val="28"/>
          <w:szCs w:val="28"/>
        </w:rPr>
        <w:t xml:space="preserve">Компенсация потерь в </w:t>
      </w:r>
      <w:proofErr w:type="gramStart"/>
      <w:r w:rsidRPr="001B7471">
        <w:rPr>
          <w:rFonts w:ascii="Century Gothic" w:eastAsia="Calibri" w:hAnsi="Century Gothic"/>
          <w:sz w:val="28"/>
          <w:szCs w:val="28"/>
        </w:rPr>
        <w:t>доходах</w:t>
      </w:r>
      <w:proofErr w:type="gramEnd"/>
      <w:r w:rsidRPr="001B7471">
        <w:rPr>
          <w:rFonts w:ascii="Century Gothic" w:eastAsia="Calibri" w:hAnsi="Century Gothic"/>
          <w:sz w:val="28"/>
          <w:szCs w:val="28"/>
        </w:rPr>
        <w:t xml:space="preserve"> транспортных организаций и индивидуальных предпринимателей, осуществляющих перевозки </w:t>
      </w:r>
      <w:r w:rsidRPr="001B7471">
        <w:rPr>
          <w:rFonts w:ascii="Century Gothic" w:hAnsi="Century Gothic"/>
          <w:sz w:val="28"/>
          <w:szCs w:val="28"/>
        </w:rPr>
        <w:t>пассажиров и багажа автомобильным транспортом общего пользования (автобусами) по межмуниципальным маршрутам</w:t>
      </w:r>
      <w:r w:rsidRPr="001B7471">
        <w:rPr>
          <w:rFonts w:ascii="Century Gothic" w:eastAsia="Calibri" w:hAnsi="Century Gothic"/>
          <w:sz w:val="28"/>
          <w:szCs w:val="28"/>
        </w:rPr>
        <w:t xml:space="preserve">, производится за счет средств субсидий. Субсидии предоставляются указанным субъектам ежемесячно в размере объема потерь в доходах организаций на основании отчетных документов. </w:t>
      </w:r>
    </w:p>
    <w:p w:rsidR="0068536C" w:rsidRPr="0068536C" w:rsidRDefault="0068536C" w:rsidP="006A7666">
      <w:pPr>
        <w:spacing w:after="0" w:line="240" w:lineRule="auto"/>
        <w:ind w:firstLine="709"/>
        <w:jc w:val="both"/>
        <w:rPr>
          <w:rFonts w:ascii="Century Gothic" w:eastAsia="Calibri" w:hAnsi="Century Gothic"/>
          <w:sz w:val="28"/>
          <w:szCs w:val="28"/>
        </w:rPr>
      </w:pPr>
      <w:r w:rsidRPr="0068536C">
        <w:rPr>
          <w:rFonts w:ascii="Century Gothic" w:eastAsia="Calibri" w:hAnsi="Century Gothic"/>
          <w:sz w:val="28"/>
          <w:szCs w:val="28"/>
        </w:rPr>
        <w:t xml:space="preserve">В </w:t>
      </w:r>
      <w:proofErr w:type="gramStart"/>
      <w:r w:rsidRPr="0068536C">
        <w:rPr>
          <w:rFonts w:ascii="Century Gothic" w:eastAsia="Calibri" w:hAnsi="Century Gothic"/>
          <w:sz w:val="28"/>
          <w:szCs w:val="28"/>
        </w:rPr>
        <w:t>заключении</w:t>
      </w:r>
      <w:proofErr w:type="gramEnd"/>
      <w:r w:rsidRPr="0068536C">
        <w:rPr>
          <w:rFonts w:ascii="Century Gothic" w:eastAsia="Calibri" w:hAnsi="Century Gothic"/>
          <w:sz w:val="28"/>
          <w:szCs w:val="28"/>
        </w:rPr>
        <w:t xml:space="preserve"> представлена информация разработчика </w:t>
      </w:r>
      <w:r w:rsidR="006A7666">
        <w:rPr>
          <w:rFonts w:ascii="Century Gothic" w:eastAsia="Calibri" w:hAnsi="Century Gothic"/>
          <w:sz w:val="28"/>
          <w:szCs w:val="28"/>
        </w:rPr>
        <w:t>п</w:t>
      </w:r>
      <w:r w:rsidRPr="0068536C">
        <w:rPr>
          <w:rFonts w:ascii="Century Gothic" w:eastAsia="Calibri" w:hAnsi="Century Gothic"/>
          <w:sz w:val="28"/>
          <w:szCs w:val="28"/>
        </w:rPr>
        <w:t>роекта о необходимых к заполнению перевозчиками реквизитов в целях последующего получения субсидий на компенсацию потерь в доходах транспортных организаций.</w:t>
      </w:r>
    </w:p>
    <w:p w:rsidR="00B432F9" w:rsidRPr="00B432F9" w:rsidRDefault="00B432F9" w:rsidP="006A7666">
      <w:pPr>
        <w:spacing w:after="0" w:line="240" w:lineRule="auto"/>
        <w:ind w:firstLine="709"/>
        <w:jc w:val="both"/>
        <w:rPr>
          <w:rFonts w:ascii="Century Gothic" w:eastAsia="Calibri" w:hAnsi="Century Gothic"/>
          <w:sz w:val="28"/>
          <w:szCs w:val="28"/>
        </w:rPr>
      </w:pPr>
      <w:proofErr w:type="gramStart"/>
      <w:r w:rsidRPr="00B432F9">
        <w:rPr>
          <w:rFonts w:ascii="Century Gothic" w:hAnsi="Century Gothic"/>
          <w:sz w:val="28"/>
          <w:szCs w:val="28"/>
        </w:rPr>
        <w:t xml:space="preserve">Исходя из анализа </w:t>
      </w:r>
      <w:r>
        <w:rPr>
          <w:rFonts w:ascii="Century Gothic" w:hAnsi="Century Gothic"/>
          <w:sz w:val="28"/>
          <w:szCs w:val="28"/>
        </w:rPr>
        <w:t xml:space="preserve">этих </w:t>
      </w:r>
      <w:r w:rsidRPr="00B432F9">
        <w:rPr>
          <w:rFonts w:ascii="Century Gothic" w:hAnsi="Century Gothic"/>
          <w:sz w:val="28"/>
          <w:szCs w:val="28"/>
        </w:rPr>
        <w:t xml:space="preserve">данных согласно предлагаемого </w:t>
      </w:r>
      <w:r w:rsidR="006A7666">
        <w:rPr>
          <w:rFonts w:ascii="Century Gothic" w:hAnsi="Century Gothic"/>
          <w:sz w:val="28"/>
          <w:szCs w:val="28"/>
        </w:rPr>
        <w:t>п</w:t>
      </w:r>
      <w:r w:rsidRPr="00B432F9">
        <w:rPr>
          <w:rFonts w:ascii="Century Gothic" w:hAnsi="Century Gothic"/>
          <w:sz w:val="28"/>
          <w:szCs w:val="28"/>
        </w:rPr>
        <w:t>роектом регулирования увеличивается</w:t>
      </w:r>
      <w:proofErr w:type="gramEnd"/>
      <w:r w:rsidRPr="00B432F9">
        <w:rPr>
          <w:rFonts w:ascii="Century Gothic" w:hAnsi="Century Gothic"/>
          <w:sz w:val="28"/>
          <w:szCs w:val="28"/>
        </w:rPr>
        <w:t xml:space="preserve"> перечень </w:t>
      </w:r>
      <w:r w:rsidRPr="00B432F9">
        <w:rPr>
          <w:rFonts w:ascii="Century Gothic" w:eastAsia="Calibri" w:hAnsi="Century Gothic"/>
          <w:sz w:val="28"/>
          <w:szCs w:val="28"/>
        </w:rPr>
        <w:t xml:space="preserve">необходимых к заполнению перевозчиками реквизитов в целях последующего получения субсидий на компенсацию потерь в доходах транспортных организаций. </w:t>
      </w:r>
    </w:p>
    <w:p w:rsidR="00B432F9" w:rsidRPr="00B432F9" w:rsidRDefault="00B432F9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B432F9">
        <w:rPr>
          <w:rFonts w:ascii="Century Gothic" w:eastAsia="Calibri" w:hAnsi="Century Gothic"/>
          <w:sz w:val="28"/>
          <w:szCs w:val="28"/>
        </w:rPr>
        <w:t>В связи с этим участниками публичных консультаций отмечено, что увеличиваются риски неправильного (неполного) заполнения всех требуемых реквизитов справок и документов и, следовательно, риски неполучения субсидий на компенсацию потерь в доходах транспортной организации, а также затраты дополнительного времени на оформление билетов, возможны случаи нарушения графиков движения автобусов.</w:t>
      </w:r>
    </w:p>
    <w:p w:rsidR="00B432F9" w:rsidRPr="00B432F9" w:rsidRDefault="00B432F9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B432F9">
        <w:rPr>
          <w:rFonts w:ascii="Century Gothic" w:eastAsia="Calibri" w:hAnsi="Century Gothic"/>
          <w:sz w:val="28"/>
          <w:szCs w:val="28"/>
        </w:rPr>
        <w:t>Сбор и предоставление перевозчиками в органы государственной власти области указанных сведений для последующей компенсации потерь в доходах за счет средств субсидий, предоставляемых из областного бюджета, относятся к информационным издержкам</w:t>
      </w:r>
      <w:r w:rsidRPr="00B432F9">
        <w:rPr>
          <w:rStyle w:val="a8"/>
          <w:rFonts w:ascii="Century Gothic" w:eastAsia="Calibri" w:hAnsi="Century Gothic"/>
          <w:sz w:val="28"/>
          <w:szCs w:val="28"/>
        </w:rPr>
        <w:footnoteReference w:id="2"/>
      </w:r>
      <w:r w:rsidRPr="00B432F9">
        <w:rPr>
          <w:rFonts w:ascii="Century Gothic" w:eastAsia="Calibri" w:hAnsi="Century Gothic"/>
          <w:sz w:val="28"/>
          <w:szCs w:val="28"/>
        </w:rPr>
        <w:t xml:space="preserve"> получателей субсидий.</w:t>
      </w:r>
    </w:p>
    <w:p w:rsidR="00B432F9" w:rsidRPr="00B432F9" w:rsidRDefault="00B432F9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B432F9">
        <w:rPr>
          <w:rFonts w:ascii="Century Gothic" w:eastAsia="Calibri" w:hAnsi="Century Gothic"/>
          <w:sz w:val="28"/>
          <w:szCs w:val="28"/>
        </w:rPr>
        <w:t xml:space="preserve">По данным разработчика </w:t>
      </w:r>
      <w:r w:rsidRPr="00B432F9">
        <w:rPr>
          <w:rFonts w:ascii="Century Gothic" w:hAnsi="Century Gothic"/>
          <w:sz w:val="28"/>
          <w:szCs w:val="28"/>
        </w:rPr>
        <w:t xml:space="preserve">на территории области имеется потребность в устанавливаемой системе скидок на приобретение проездных документов со стороны обучающегося населения области автобусами в междугородном сообщении по межмуниципальным маршрутам. </w:t>
      </w:r>
    </w:p>
    <w:p w:rsidR="00B432F9" w:rsidRPr="00B432F9" w:rsidRDefault="00B432F9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B432F9">
        <w:rPr>
          <w:rFonts w:ascii="Century Gothic" w:hAnsi="Century Gothic"/>
          <w:sz w:val="28"/>
          <w:szCs w:val="28"/>
        </w:rPr>
        <w:t xml:space="preserve">Так, по данным разработчика, установленными скидками в 2015 году воспользовались  139,8 тыс. человек, в 2016 году – 125,1 тыс. человек. </w:t>
      </w:r>
    </w:p>
    <w:p w:rsidR="00B432F9" w:rsidRPr="00B432F9" w:rsidRDefault="00B432F9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B432F9">
        <w:rPr>
          <w:rFonts w:ascii="Century Gothic" w:hAnsi="Century Gothic"/>
          <w:sz w:val="28"/>
          <w:szCs w:val="28"/>
        </w:rPr>
        <w:t xml:space="preserve">Согласно представленному разработчиком финансово-экономическому обоснованию при </w:t>
      </w:r>
      <w:proofErr w:type="gramStart"/>
      <w:r w:rsidRPr="00B432F9">
        <w:rPr>
          <w:rFonts w:ascii="Century Gothic" w:hAnsi="Century Gothic"/>
          <w:sz w:val="28"/>
          <w:szCs w:val="28"/>
        </w:rPr>
        <w:t>принятии</w:t>
      </w:r>
      <w:proofErr w:type="gramEnd"/>
      <w:r w:rsidRPr="00B432F9">
        <w:rPr>
          <w:rFonts w:ascii="Century Gothic" w:hAnsi="Century Gothic"/>
          <w:sz w:val="28"/>
          <w:szCs w:val="28"/>
        </w:rPr>
        <w:t xml:space="preserve"> </w:t>
      </w:r>
      <w:r w:rsidR="006A7666">
        <w:rPr>
          <w:rFonts w:ascii="Century Gothic" w:hAnsi="Century Gothic"/>
          <w:sz w:val="28"/>
          <w:szCs w:val="28"/>
        </w:rPr>
        <w:t>п</w:t>
      </w:r>
      <w:r w:rsidRPr="00B432F9">
        <w:rPr>
          <w:rFonts w:ascii="Century Gothic" w:hAnsi="Century Gothic"/>
          <w:sz w:val="28"/>
          <w:szCs w:val="28"/>
        </w:rPr>
        <w:t>роекта прогнозир</w:t>
      </w:r>
      <w:r>
        <w:rPr>
          <w:rFonts w:ascii="Century Gothic" w:hAnsi="Century Gothic"/>
          <w:sz w:val="28"/>
          <w:szCs w:val="28"/>
        </w:rPr>
        <w:t>овалось</w:t>
      </w:r>
      <w:r w:rsidRPr="00B432F9">
        <w:rPr>
          <w:rFonts w:ascii="Century Gothic" w:hAnsi="Century Gothic"/>
          <w:sz w:val="28"/>
          <w:szCs w:val="28"/>
        </w:rPr>
        <w:t xml:space="preserve"> уменьшение количества получателей скидок на 10% и состави</w:t>
      </w:r>
      <w:r>
        <w:rPr>
          <w:rFonts w:ascii="Century Gothic" w:hAnsi="Century Gothic"/>
          <w:sz w:val="28"/>
          <w:szCs w:val="28"/>
        </w:rPr>
        <w:t>ло</w:t>
      </w:r>
      <w:r w:rsidRPr="00B432F9">
        <w:rPr>
          <w:rFonts w:ascii="Century Gothic" w:hAnsi="Century Gothic"/>
          <w:sz w:val="28"/>
          <w:szCs w:val="28"/>
        </w:rPr>
        <w:t xml:space="preserve"> (с учетом данных 2016 года) ориентировочно 112,6 тыс. человек или 2,6 тыс. человек на 1 перевозчика.</w:t>
      </w:r>
    </w:p>
    <w:p w:rsidR="00B432F9" w:rsidRDefault="00B432F9" w:rsidP="006A7666">
      <w:pPr>
        <w:spacing w:after="0" w:line="240" w:lineRule="auto"/>
        <w:ind w:firstLine="568"/>
        <w:jc w:val="both"/>
        <w:rPr>
          <w:rStyle w:val="FontStyle13"/>
          <w:rFonts w:ascii="Century Gothic" w:hAnsi="Century Gothic"/>
          <w:sz w:val="28"/>
        </w:rPr>
      </w:pPr>
      <w:r w:rsidRPr="00B432F9">
        <w:rPr>
          <w:rFonts w:ascii="Century Gothic" w:hAnsi="Century Gothic"/>
          <w:sz w:val="28"/>
          <w:szCs w:val="28"/>
        </w:rPr>
        <w:t>С помощью калькулятора издержек</w:t>
      </w:r>
      <w:r w:rsidRPr="00B432F9">
        <w:rPr>
          <w:rStyle w:val="a8"/>
          <w:rFonts w:ascii="Century Gothic" w:hAnsi="Century Gothic"/>
          <w:sz w:val="28"/>
          <w:szCs w:val="28"/>
        </w:rPr>
        <w:footnoteReference w:id="3"/>
      </w:r>
      <w:r w:rsidRPr="00B432F9">
        <w:rPr>
          <w:rFonts w:ascii="Century Gothic" w:hAnsi="Century Gothic"/>
          <w:sz w:val="28"/>
          <w:szCs w:val="28"/>
        </w:rPr>
        <w:t xml:space="preserve"> Департаментом </w:t>
      </w:r>
      <w:r>
        <w:rPr>
          <w:rFonts w:ascii="Century Gothic" w:hAnsi="Century Gothic"/>
          <w:sz w:val="28"/>
          <w:szCs w:val="28"/>
        </w:rPr>
        <w:t xml:space="preserve">были </w:t>
      </w:r>
      <w:r w:rsidRPr="00B432F9">
        <w:rPr>
          <w:rFonts w:ascii="Century Gothic" w:hAnsi="Century Gothic"/>
          <w:sz w:val="28"/>
          <w:szCs w:val="28"/>
        </w:rPr>
        <w:t xml:space="preserve">рассчитаны данные информационные </w:t>
      </w:r>
      <w:r w:rsidRPr="00C10EC8">
        <w:rPr>
          <w:rFonts w:ascii="Century Gothic" w:hAnsi="Century Gothic"/>
          <w:sz w:val="28"/>
          <w:szCs w:val="28"/>
        </w:rPr>
        <w:t>издержки (</w:t>
      </w:r>
      <w:r w:rsidRPr="00C10EC8">
        <w:rPr>
          <w:rStyle w:val="FontStyle13"/>
          <w:rFonts w:ascii="Century Gothic" w:hAnsi="Century Gothic"/>
          <w:sz w:val="28"/>
        </w:rPr>
        <w:t>с</w:t>
      </w:r>
      <w:r w:rsidRPr="00B432F9">
        <w:rPr>
          <w:rStyle w:val="FontStyle13"/>
          <w:rFonts w:ascii="Century Gothic" w:hAnsi="Century Gothic"/>
          <w:sz w:val="28"/>
        </w:rPr>
        <w:t xml:space="preserve"> учетом количества получателей скидок, прогнозируемых разработчиком </w:t>
      </w:r>
      <w:r w:rsidR="006A7666">
        <w:rPr>
          <w:rStyle w:val="FontStyle13"/>
          <w:rFonts w:ascii="Century Gothic" w:hAnsi="Century Gothic"/>
          <w:sz w:val="28"/>
        </w:rPr>
        <w:t>п</w:t>
      </w:r>
      <w:r w:rsidRPr="00B432F9">
        <w:rPr>
          <w:rStyle w:val="FontStyle13"/>
          <w:rFonts w:ascii="Century Gothic" w:hAnsi="Century Gothic"/>
          <w:sz w:val="28"/>
        </w:rPr>
        <w:t>роекта на 2017 год</w:t>
      </w:r>
      <w:r>
        <w:rPr>
          <w:rStyle w:val="FontStyle13"/>
          <w:rFonts w:ascii="Century Gothic" w:hAnsi="Century Gothic"/>
          <w:sz w:val="28"/>
        </w:rPr>
        <w:t>).</w:t>
      </w:r>
    </w:p>
    <w:p w:rsidR="00B432F9" w:rsidRPr="00B432F9" w:rsidRDefault="006A7666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В </w:t>
      </w:r>
      <w:proofErr w:type="gramStart"/>
      <w:r>
        <w:rPr>
          <w:rFonts w:ascii="Century Gothic" w:hAnsi="Century Gothic"/>
          <w:sz w:val="28"/>
          <w:szCs w:val="28"/>
        </w:rPr>
        <w:t>заключении</w:t>
      </w:r>
      <w:proofErr w:type="gramEnd"/>
      <w:r>
        <w:rPr>
          <w:rFonts w:ascii="Century Gothic" w:hAnsi="Century Gothic"/>
          <w:sz w:val="28"/>
          <w:szCs w:val="28"/>
        </w:rPr>
        <w:t xml:space="preserve"> отмечено, что с</w:t>
      </w:r>
      <w:r w:rsidR="00B432F9" w:rsidRPr="00B432F9">
        <w:rPr>
          <w:rFonts w:ascii="Century Gothic" w:hAnsi="Century Gothic"/>
          <w:sz w:val="28"/>
          <w:szCs w:val="28"/>
        </w:rPr>
        <w:t xml:space="preserve">облюдение предлагаемого регулирования для 44 перевозчиков, осуществляющих перевозку пассажиров и багажа автомобильным транспортом общего пользования (автобусами) по межмуниципальным маршрутам, приведет к дополнительным издержкам в среднем порядка </w:t>
      </w:r>
      <w:r w:rsidR="00B432F9" w:rsidRPr="00B432F9">
        <w:rPr>
          <w:rFonts w:ascii="Century Gothic" w:eastAsia="Calibri" w:hAnsi="Century Gothic"/>
          <w:sz w:val="28"/>
          <w:szCs w:val="28"/>
        </w:rPr>
        <w:t>489 699,05</w:t>
      </w:r>
      <w:r w:rsidR="00B432F9" w:rsidRPr="00B432F9">
        <w:rPr>
          <w:rFonts w:ascii="Century Gothic" w:eastAsia="Calibri" w:hAnsi="Century Gothic"/>
        </w:rPr>
        <w:t xml:space="preserve"> </w:t>
      </w:r>
      <w:r w:rsidR="00B432F9" w:rsidRPr="00B432F9">
        <w:rPr>
          <w:rFonts w:ascii="Century Gothic" w:hAnsi="Century Gothic"/>
          <w:sz w:val="28"/>
          <w:szCs w:val="28"/>
        </w:rPr>
        <w:t>рублей в год.</w:t>
      </w:r>
    </w:p>
    <w:p w:rsidR="00B432F9" w:rsidRDefault="00B432F9" w:rsidP="006A76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B432F9">
        <w:rPr>
          <w:rFonts w:ascii="Century Gothic" w:hAnsi="Century Gothic"/>
          <w:sz w:val="28"/>
          <w:szCs w:val="28"/>
        </w:rPr>
        <w:t xml:space="preserve">Также участниками публичных консультаций </w:t>
      </w:r>
      <w:r>
        <w:rPr>
          <w:rFonts w:ascii="Century Gothic" w:hAnsi="Century Gothic"/>
          <w:sz w:val="28"/>
          <w:szCs w:val="28"/>
        </w:rPr>
        <w:t xml:space="preserve">были </w:t>
      </w:r>
      <w:r w:rsidRPr="00B432F9">
        <w:rPr>
          <w:rFonts w:ascii="Century Gothic" w:hAnsi="Century Gothic"/>
          <w:sz w:val="28"/>
          <w:szCs w:val="28"/>
        </w:rPr>
        <w:t>отмечены риски негативных последствий предлагаемого регулирования, а именно, что невозможно будет осуществлять продажу билетов через информационно-телекоммуникационную сеть «Интернет», поскольку не будет возможности проверки подлинности справок и документов.</w:t>
      </w:r>
    </w:p>
    <w:p w:rsidR="00B8265D" w:rsidRPr="00B8265D" w:rsidRDefault="00B8265D" w:rsidP="006A7666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0"/>
        <w:rPr>
          <w:rFonts w:ascii="Century Gothic" w:eastAsia="Calibri" w:hAnsi="Century Gothic"/>
          <w:sz w:val="28"/>
          <w:szCs w:val="28"/>
        </w:rPr>
      </w:pPr>
      <w:proofErr w:type="gramStart"/>
      <w:r w:rsidRPr="00B8265D">
        <w:rPr>
          <w:rFonts w:ascii="Century Gothic" w:hAnsi="Century Gothic"/>
          <w:sz w:val="28"/>
          <w:szCs w:val="28"/>
        </w:rPr>
        <w:t>В заключении на проект сделан вывод о том, что</w:t>
      </w:r>
      <w:r w:rsidRPr="00B8265D">
        <w:rPr>
          <w:rFonts w:ascii="Century Gothic" w:eastAsia="Calibri" w:hAnsi="Century Gothic"/>
          <w:sz w:val="28"/>
          <w:szCs w:val="28"/>
        </w:rPr>
        <w:t xml:space="preserve"> в </w:t>
      </w:r>
      <w:r w:rsidR="005D6C79">
        <w:rPr>
          <w:rFonts w:ascii="Century Gothic" w:eastAsia="Calibri" w:hAnsi="Century Gothic"/>
          <w:sz w:val="28"/>
          <w:szCs w:val="28"/>
        </w:rPr>
        <w:t>нем</w:t>
      </w:r>
      <w:r w:rsidRPr="00B8265D">
        <w:rPr>
          <w:rFonts w:ascii="Century Gothic" w:eastAsia="Calibri" w:hAnsi="Century Gothic"/>
          <w:sz w:val="28"/>
          <w:szCs w:val="28"/>
        </w:rPr>
        <w:t xml:space="preserve"> имеются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 и областного бюджета.</w:t>
      </w:r>
      <w:proofErr w:type="gramEnd"/>
    </w:p>
    <w:p w:rsidR="00274826" w:rsidRPr="00B8265D" w:rsidRDefault="002F0DC6" w:rsidP="006A7666">
      <w:pPr>
        <w:spacing w:after="0" w:line="240" w:lineRule="auto"/>
        <w:ind w:firstLine="709"/>
        <w:jc w:val="both"/>
        <w:rPr>
          <w:rFonts w:ascii="Century Gothic" w:hAnsi="Century Gothic"/>
          <w:b/>
          <w:sz w:val="28"/>
          <w:szCs w:val="28"/>
        </w:rPr>
      </w:pPr>
      <w:r w:rsidRPr="00B8265D">
        <w:rPr>
          <w:rFonts w:ascii="Century Gothic" w:hAnsi="Century Gothic"/>
          <w:b/>
          <w:sz w:val="28"/>
          <w:szCs w:val="28"/>
        </w:rPr>
        <w:t xml:space="preserve">2) </w:t>
      </w:r>
      <w:r w:rsidR="00B8265D" w:rsidRPr="00B8265D">
        <w:rPr>
          <w:rFonts w:ascii="Century Gothic" w:hAnsi="Century Gothic"/>
          <w:b/>
          <w:sz w:val="28"/>
          <w:szCs w:val="28"/>
        </w:rPr>
        <w:t xml:space="preserve">проект закона области «О </w:t>
      </w:r>
      <w:proofErr w:type="gramStart"/>
      <w:r w:rsidR="00B8265D" w:rsidRPr="00B8265D">
        <w:rPr>
          <w:rFonts w:ascii="Century Gothic" w:hAnsi="Century Gothic"/>
          <w:b/>
          <w:sz w:val="28"/>
          <w:szCs w:val="28"/>
        </w:rPr>
        <w:t>внесении</w:t>
      </w:r>
      <w:proofErr w:type="gramEnd"/>
      <w:r w:rsidR="00B8265D" w:rsidRPr="00B8265D">
        <w:rPr>
          <w:rFonts w:ascii="Century Gothic" w:hAnsi="Century Gothic"/>
          <w:b/>
          <w:sz w:val="28"/>
          <w:szCs w:val="28"/>
        </w:rPr>
        <w:t xml:space="preserve"> изменений в закон Вологодской области от 12 мая 2015 года № 3662-ОЗ «О регулировании отдельных отношений в сфере организации транспортного обслуживания населения области легковым такси»</w:t>
      </w:r>
      <w:r w:rsidR="006C2E59" w:rsidRPr="00B8265D">
        <w:rPr>
          <w:rStyle w:val="a8"/>
          <w:rFonts w:ascii="Century Gothic" w:hAnsi="Century Gothic"/>
          <w:b/>
          <w:i/>
          <w:sz w:val="28"/>
          <w:szCs w:val="28"/>
        </w:rPr>
        <w:footnoteReference w:id="4"/>
      </w:r>
      <w:r w:rsidRPr="00B8265D">
        <w:rPr>
          <w:rFonts w:ascii="Century Gothic" w:hAnsi="Century Gothic"/>
          <w:b/>
          <w:i/>
          <w:sz w:val="28"/>
          <w:szCs w:val="28"/>
        </w:rPr>
        <w:t>.</w:t>
      </w:r>
    </w:p>
    <w:p w:rsid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 xml:space="preserve">Проект акта распространяет свое действие на юридических лиц и индивидуальных предпринимателей, осуществляющих деятельность по перевозке пассажиров и багажа легковым такси на территории Вологодской области. 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proofErr w:type="gramStart"/>
      <w:r w:rsidRPr="00E97DB5">
        <w:rPr>
          <w:rFonts w:ascii="Century Gothic" w:hAnsi="Century Gothic"/>
          <w:sz w:val="28"/>
          <w:szCs w:val="28"/>
        </w:rPr>
        <w:t>Согласно информации разработчика целями предлагаемого регулирования являются: обеспечение безопасности пассажиров легкового такси, идентификация легковых такси по отношению к иным транспортным средствам, актуализации реестра выданных разрешений на осуществление деятельности на перевозку пассажиров и багажа легковым такси, а также вывода из «теневого» сектора экономики перевозчиков осуществляющих нелегальную деятельность при перевозке пассажиров в качестве легковых такси на территории области без государственной регистрации в</w:t>
      </w:r>
      <w:proofErr w:type="gramEnd"/>
      <w:r w:rsidRPr="00E97DB5">
        <w:rPr>
          <w:rFonts w:ascii="Century Gothic" w:hAnsi="Century Gothic"/>
          <w:sz w:val="28"/>
          <w:szCs w:val="28"/>
        </w:rPr>
        <w:t xml:space="preserve"> налогом </w:t>
      </w:r>
      <w:proofErr w:type="gramStart"/>
      <w:r w:rsidRPr="00E97DB5">
        <w:rPr>
          <w:rFonts w:ascii="Century Gothic" w:hAnsi="Century Gothic"/>
          <w:sz w:val="28"/>
          <w:szCs w:val="28"/>
        </w:rPr>
        <w:t>органе</w:t>
      </w:r>
      <w:proofErr w:type="gramEnd"/>
      <w:r w:rsidRPr="00E97DB5">
        <w:rPr>
          <w:rFonts w:ascii="Century Gothic" w:hAnsi="Century Gothic"/>
          <w:sz w:val="28"/>
          <w:szCs w:val="28"/>
        </w:rPr>
        <w:t xml:space="preserve"> в качестве юридического лица или индивидуального предпринимателя.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Проектом предлага</w:t>
      </w:r>
      <w:r>
        <w:rPr>
          <w:rFonts w:ascii="Century Gothic" w:hAnsi="Century Gothic"/>
          <w:sz w:val="28"/>
          <w:szCs w:val="28"/>
        </w:rPr>
        <w:t>лось</w:t>
      </w:r>
      <w:r w:rsidRPr="00E97DB5">
        <w:rPr>
          <w:rFonts w:ascii="Century Gothic" w:hAnsi="Century Gothic"/>
          <w:sz w:val="28"/>
          <w:szCs w:val="28"/>
        </w:rPr>
        <w:t xml:space="preserve"> внести следующие изменения: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1. Предусмотреть положения о том, что в течение срока рассмотрения заявления заявитель предъявляет транспортное средство, указанное в заявлении, для проверки его соответствия следующим требованиям: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 xml:space="preserve">наличие на кузове транспортного средства (боковых поверхностях кузова) </w:t>
      </w:r>
      <w:proofErr w:type="spellStart"/>
      <w:r w:rsidRPr="00E97DB5">
        <w:rPr>
          <w:rFonts w:ascii="Century Gothic" w:hAnsi="Century Gothic"/>
          <w:sz w:val="28"/>
          <w:szCs w:val="28"/>
        </w:rPr>
        <w:t>цветографической</w:t>
      </w:r>
      <w:proofErr w:type="spellEnd"/>
      <w:r w:rsidRPr="00E97DB5">
        <w:rPr>
          <w:rFonts w:ascii="Century Gothic" w:hAnsi="Century Gothic"/>
          <w:sz w:val="28"/>
          <w:szCs w:val="28"/>
        </w:rPr>
        <w:t xml:space="preserve"> схемы, представляющей собой композицию из квадратов контрастного цвета, расположенных в шахматном порядке;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наличие на крыше транспортного средства опознавательного фонаря оранжевого цвета;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 xml:space="preserve">наличие таксометра - в </w:t>
      </w:r>
      <w:proofErr w:type="gramStart"/>
      <w:r w:rsidRPr="00E97DB5">
        <w:rPr>
          <w:rFonts w:ascii="Century Gothic" w:hAnsi="Century Gothic"/>
          <w:sz w:val="28"/>
          <w:szCs w:val="28"/>
        </w:rPr>
        <w:t>случае</w:t>
      </w:r>
      <w:proofErr w:type="gramEnd"/>
      <w:r w:rsidRPr="00E97DB5">
        <w:rPr>
          <w:rFonts w:ascii="Century Gothic" w:hAnsi="Century Gothic"/>
          <w:sz w:val="28"/>
          <w:szCs w:val="28"/>
        </w:rPr>
        <w:t>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 xml:space="preserve">наличие в транспортном </w:t>
      </w:r>
      <w:proofErr w:type="gramStart"/>
      <w:r w:rsidRPr="00E97DB5">
        <w:rPr>
          <w:rFonts w:ascii="Century Gothic" w:hAnsi="Century Gothic"/>
          <w:sz w:val="28"/>
          <w:szCs w:val="28"/>
        </w:rPr>
        <w:t>средстве</w:t>
      </w:r>
      <w:proofErr w:type="gramEnd"/>
      <w:r w:rsidRPr="00E97DB5">
        <w:rPr>
          <w:rFonts w:ascii="Century Gothic" w:hAnsi="Century Gothic"/>
          <w:sz w:val="28"/>
          <w:szCs w:val="28"/>
        </w:rPr>
        <w:t xml:space="preserve"> детского удерживающего  кресла, или иных средств, позволяющих пристегнуть ребенка с помощью ремней безопасности, предусмотренных конструкцией транспортного средств.</w:t>
      </w:r>
    </w:p>
    <w:p w:rsid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В заключении сделаны в</w:t>
      </w:r>
      <w:r w:rsidRPr="00E97DB5">
        <w:rPr>
          <w:rFonts w:ascii="Century Gothic" w:hAnsi="Century Gothic"/>
          <w:sz w:val="28"/>
          <w:szCs w:val="28"/>
        </w:rPr>
        <w:t>ыводы о необоснованных расходах субъектов предпринимательской деятельности (содержательные издержки</w:t>
      </w:r>
      <w:r w:rsidRPr="00E97DB5">
        <w:rPr>
          <w:rStyle w:val="a8"/>
          <w:rFonts w:ascii="Century Gothic" w:hAnsi="Century Gothic"/>
          <w:sz w:val="28"/>
          <w:szCs w:val="28"/>
        </w:rPr>
        <w:footnoteReference w:id="5"/>
      </w:r>
      <w:r w:rsidRPr="00E97DB5">
        <w:rPr>
          <w:rFonts w:ascii="Century Gothic" w:hAnsi="Century Gothic"/>
          <w:sz w:val="28"/>
          <w:szCs w:val="28"/>
        </w:rPr>
        <w:t>: расходы на топливо, временные издержки), возникающие у заявителей в связи с необходимостью предоставлять транспортное средство к осмотру в течение срока рассмотрения заявления о получении разрешения на осуществление деятельности легковым такси, а также о расходах областного бюджета, связанных с необходимос</w:t>
      </w:r>
      <w:r>
        <w:rPr>
          <w:rFonts w:ascii="Century Gothic" w:hAnsi="Century Gothic"/>
          <w:sz w:val="28"/>
          <w:szCs w:val="28"/>
        </w:rPr>
        <w:t>тью осуществления осмотра.</w:t>
      </w:r>
      <w:proofErr w:type="gramEnd"/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С</w:t>
      </w:r>
      <w:r w:rsidRPr="00E97DB5">
        <w:rPr>
          <w:rFonts w:ascii="Century Gothic" w:hAnsi="Century Gothic"/>
          <w:sz w:val="28"/>
          <w:szCs w:val="28"/>
        </w:rPr>
        <w:t>редние суммарные расходы на осмотр транспортных сре</w:t>
      </w:r>
      <w:proofErr w:type="gramStart"/>
      <w:r w:rsidRPr="00E97DB5">
        <w:rPr>
          <w:rFonts w:ascii="Century Gothic" w:hAnsi="Century Gothic"/>
          <w:sz w:val="28"/>
          <w:szCs w:val="28"/>
        </w:rPr>
        <w:t>дств пр</w:t>
      </w:r>
      <w:proofErr w:type="gramEnd"/>
      <w:r w:rsidRPr="00E97DB5">
        <w:rPr>
          <w:rFonts w:ascii="Century Gothic" w:hAnsi="Century Gothic"/>
          <w:sz w:val="28"/>
          <w:szCs w:val="28"/>
        </w:rPr>
        <w:t xml:space="preserve">осчитаны </w:t>
      </w:r>
      <w:r w:rsidR="00F057D1" w:rsidRPr="00C10EC8">
        <w:rPr>
          <w:rFonts w:ascii="Century Gothic" w:hAnsi="Century Gothic"/>
          <w:sz w:val="28"/>
          <w:szCs w:val="28"/>
        </w:rPr>
        <w:t>на 2016 год и в прогнозе на период 201</w:t>
      </w:r>
      <w:r w:rsidR="001300E5" w:rsidRPr="00C10EC8">
        <w:rPr>
          <w:rFonts w:ascii="Century Gothic" w:hAnsi="Century Gothic"/>
          <w:sz w:val="28"/>
          <w:szCs w:val="28"/>
        </w:rPr>
        <w:t>7</w:t>
      </w:r>
      <w:r w:rsidR="00F057D1" w:rsidRPr="00C10EC8">
        <w:rPr>
          <w:rFonts w:ascii="Century Gothic" w:hAnsi="Century Gothic"/>
          <w:sz w:val="28"/>
          <w:szCs w:val="28"/>
        </w:rPr>
        <w:t>-2019 годы</w:t>
      </w:r>
      <w:r w:rsidR="00F057D1" w:rsidRPr="00E97DB5">
        <w:rPr>
          <w:rFonts w:ascii="Century Gothic" w:hAnsi="Century Gothic"/>
          <w:sz w:val="28"/>
          <w:szCs w:val="28"/>
        </w:rPr>
        <w:t xml:space="preserve"> </w:t>
      </w:r>
      <w:r w:rsidRPr="00E97DB5">
        <w:rPr>
          <w:rFonts w:ascii="Century Gothic" w:hAnsi="Century Gothic"/>
          <w:sz w:val="28"/>
          <w:szCs w:val="28"/>
        </w:rPr>
        <w:t>и составят:</w:t>
      </w:r>
    </w:p>
    <w:p w:rsidR="00E97DB5" w:rsidRPr="00E97DB5" w:rsidRDefault="00E97DB5" w:rsidP="006A7666">
      <w:pPr>
        <w:pStyle w:val="ConsPlusNormal"/>
        <w:numPr>
          <w:ilvl w:val="0"/>
          <w:numId w:val="5"/>
        </w:numPr>
        <w:ind w:left="0" w:firstLine="567"/>
        <w:jc w:val="both"/>
        <w:rPr>
          <w:rFonts w:ascii="Century Gothic" w:hAnsi="Century Gothic" w:cs="Times New Roman"/>
          <w:sz w:val="28"/>
          <w:szCs w:val="28"/>
        </w:rPr>
      </w:pPr>
      <w:r w:rsidRPr="00E97DB5">
        <w:rPr>
          <w:rFonts w:ascii="Century Gothic" w:hAnsi="Century Gothic" w:cs="Times New Roman"/>
          <w:sz w:val="28"/>
          <w:szCs w:val="28"/>
        </w:rPr>
        <w:t xml:space="preserve">расходы субъектов </w:t>
      </w:r>
      <w:proofErr w:type="gramStart"/>
      <w:r w:rsidRPr="00E97DB5">
        <w:rPr>
          <w:rFonts w:ascii="Century Gothic" w:hAnsi="Century Gothic" w:cs="Times New Roman"/>
          <w:sz w:val="28"/>
          <w:szCs w:val="28"/>
        </w:rPr>
        <w:t>предпринимательской</w:t>
      </w:r>
      <w:proofErr w:type="gramEnd"/>
      <w:r w:rsidRPr="00E97DB5">
        <w:rPr>
          <w:rFonts w:ascii="Century Gothic" w:hAnsi="Century Gothic" w:cs="Times New Roman"/>
          <w:sz w:val="28"/>
          <w:szCs w:val="28"/>
        </w:rPr>
        <w:t xml:space="preserve"> деятельности – 4,5 млн. рублей ежегодно;</w:t>
      </w:r>
    </w:p>
    <w:p w:rsidR="00E97DB5" w:rsidRPr="00E97DB5" w:rsidRDefault="00E97DB5" w:rsidP="006A7666">
      <w:pPr>
        <w:pStyle w:val="ConsPlusNormal"/>
        <w:numPr>
          <w:ilvl w:val="0"/>
          <w:numId w:val="5"/>
        </w:numPr>
        <w:ind w:left="0" w:firstLine="567"/>
        <w:jc w:val="both"/>
        <w:rPr>
          <w:rFonts w:ascii="Century Gothic" w:hAnsi="Century Gothic" w:cs="Times New Roman"/>
          <w:sz w:val="28"/>
          <w:szCs w:val="28"/>
        </w:rPr>
      </w:pPr>
      <w:r w:rsidRPr="00E97DB5">
        <w:rPr>
          <w:rFonts w:ascii="Century Gothic" w:hAnsi="Century Gothic" w:cs="Times New Roman"/>
          <w:sz w:val="28"/>
          <w:szCs w:val="28"/>
        </w:rPr>
        <w:t>расходы областного бюджета – 56,8 тыс. рублей ежегодно.</w:t>
      </w:r>
    </w:p>
    <w:p w:rsidR="00E97DB5" w:rsidRPr="00AD2E1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AD2E15">
        <w:rPr>
          <w:rFonts w:ascii="Century Gothic" w:hAnsi="Century Gothic"/>
          <w:sz w:val="28"/>
          <w:szCs w:val="28"/>
        </w:rPr>
        <w:t>Также субъекты предпринимательской деятельности несут содержательные издержки</w:t>
      </w:r>
      <w:r w:rsidRPr="00AD2E15">
        <w:rPr>
          <w:rStyle w:val="a8"/>
          <w:rFonts w:ascii="Century Gothic" w:hAnsi="Century Gothic"/>
          <w:sz w:val="28"/>
          <w:szCs w:val="28"/>
        </w:rPr>
        <w:footnoteReference w:id="6"/>
      </w:r>
      <w:r w:rsidRPr="00AD2E15">
        <w:rPr>
          <w:rFonts w:ascii="Century Gothic" w:hAnsi="Century Gothic"/>
          <w:sz w:val="28"/>
          <w:szCs w:val="28"/>
        </w:rPr>
        <w:t xml:space="preserve"> на оборудование автомобиля (в </w:t>
      </w:r>
      <w:proofErr w:type="gramStart"/>
      <w:r w:rsidRPr="00AD2E15">
        <w:rPr>
          <w:rFonts w:ascii="Century Gothic" w:hAnsi="Century Gothic"/>
          <w:sz w:val="28"/>
          <w:szCs w:val="28"/>
        </w:rPr>
        <w:t>расчете</w:t>
      </w:r>
      <w:proofErr w:type="gramEnd"/>
      <w:r w:rsidRPr="00AD2E15">
        <w:rPr>
          <w:rFonts w:ascii="Century Gothic" w:hAnsi="Century Gothic"/>
          <w:sz w:val="28"/>
          <w:szCs w:val="28"/>
        </w:rPr>
        <w:t xml:space="preserve"> на единицу транспортного средства) и получение разрешения</w:t>
      </w:r>
      <w:r w:rsidRPr="00AD2E15">
        <w:rPr>
          <w:rStyle w:val="a8"/>
          <w:rFonts w:ascii="Century Gothic" w:hAnsi="Century Gothic"/>
          <w:sz w:val="28"/>
          <w:szCs w:val="28"/>
        </w:rPr>
        <w:footnoteReference w:id="7"/>
      </w:r>
      <w:r w:rsidRPr="00AD2E15">
        <w:rPr>
          <w:rFonts w:ascii="Century Gothic" w:hAnsi="Century Gothic"/>
          <w:sz w:val="28"/>
          <w:szCs w:val="28"/>
        </w:rPr>
        <w:t>:</w:t>
      </w:r>
    </w:p>
    <w:p w:rsidR="00E97DB5" w:rsidRPr="00AD2E1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AD2E15">
        <w:rPr>
          <w:rFonts w:ascii="Century Gothic" w:hAnsi="Century Gothic"/>
          <w:sz w:val="28"/>
          <w:szCs w:val="28"/>
        </w:rPr>
        <w:t>- таксометр с принтером (для печати чека пассажиру) – 5000 рублей;</w:t>
      </w:r>
    </w:p>
    <w:p w:rsidR="00E97DB5" w:rsidRPr="00AD2E1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AD2E15">
        <w:rPr>
          <w:rFonts w:ascii="Century Gothic" w:hAnsi="Century Gothic"/>
          <w:sz w:val="28"/>
          <w:szCs w:val="28"/>
        </w:rPr>
        <w:t xml:space="preserve">- </w:t>
      </w:r>
      <w:proofErr w:type="spellStart"/>
      <w:r w:rsidRPr="00AD2E15">
        <w:rPr>
          <w:rFonts w:ascii="Century Gothic" w:hAnsi="Century Gothic"/>
          <w:sz w:val="28"/>
          <w:szCs w:val="28"/>
        </w:rPr>
        <w:t>лайтбокс</w:t>
      </w:r>
      <w:proofErr w:type="spellEnd"/>
      <w:r w:rsidRPr="00AD2E15">
        <w:rPr>
          <w:rFonts w:ascii="Century Gothic" w:hAnsi="Century Gothic"/>
          <w:sz w:val="28"/>
          <w:szCs w:val="28"/>
        </w:rPr>
        <w:t xml:space="preserve"> (верхний колпак оранжевого цвета) – 1000 рублей.</w:t>
      </w:r>
    </w:p>
    <w:p w:rsidR="00E97DB5" w:rsidRPr="00AD2E1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AD2E15">
        <w:rPr>
          <w:rFonts w:ascii="Century Gothic" w:hAnsi="Century Gothic"/>
          <w:sz w:val="28"/>
          <w:szCs w:val="28"/>
        </w:rPr>
        <w:t xml:space="preserve">- </w:t>
      </w:r>
      <w:proofErr w:type="spellStart"/>
      <w:r w:rsidRPr="00AD2E15">
        <w:rPr>
          <w:rFonts w:ascii="Century Gothic" w:hAnsi="Century Gothic"/>
          <w:sz w:val="28"/>
          <w:szCs w:val="28"/>
        </w:rPr>
        <w:t>цветографическая</w:t>
      </w:r>
      <w:proofErr w:type="spellEnd"/>
      <w:r w:rsidRPr="00AD2E15">
        <w:rPr>
          <w:rFonts w:ascii="Century Gothic" w:hAnsi="Century Gothic"/>
          <w:sz w:val="28"/>
          <w:szCs w:val="28"/>
        </w:rPr>
        <w:t xml:space="preserve"> схема в </w:t>
      </w:r>
      <w:proofErr w:type="gramStart"/>
      <w:r w:rsidRPr="00AD2E15">
        <w:rPr>
          <w:rFonts w:ascii="Century Gothic" w:hAnsi="Century Gothic"/>
          <w:sz w:val="28"/>
          <w:szCs w:val="28"/>
        </w:rPr>
        <w:t>виде</w:t>
      </w:r>
      <w:proofErr w:type="gramEnd"/>
      <w:r w:rsidRPr="00AD2E15">
        <w:rPr>
          <w:rFonts w:ascii="Century Gothic" w:hAnsi="Century Gothic"/>
          <w:sz w:val="28"/>
          <w:szCs w:val="28"/>
        </w:rPr>
        <w:t xml:space="preserve"> шахматной полоски контрастного цвета на обе стороны кузова автомобиля – 600 рублей;</w:t>
      </w:r>
    </w:p>
    <w:p w:rsidR="00E97DB5" w:rsidRPr="00AD2E1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AD2E15">
        <w:rPr>
          <w:rFonts w:ascii="Century Gothic" w:hAnsi="Century Gothic"/>
          <w:sz w:val="28"/>
          <w:szCs w:val="28"/>
        </w:rPr>
        <w:t>- плата за выдачу разрешения на осуществление деятельности по перевозке пассажиров и багажа легковым такси – 1000 рублей за 1 разрешение.</w:t>
      </w:r>
    </w:p>
    <w:p w:rsidR="00E97DB5" w:rsidRPr="00AD2E1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AD2E15">
        <w:rPr>
          <w:rFonts w:ascii="Century Gothic" w:hAnsi="Century Gothic"/>
          <w:sz w:val="28"/>
          <w:szCs w:val="28"/>
        </w:rPr>
        <w:t>- детское удерживающее устройство – 1500 рублей.</w:t>
      </w:r>
    </w:p>
    <w:p w:rsidR="00E97DB5" w:rsidRPr="00C10EC8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C10EC8">
        <w:rPr>
          <w:rFonts w:ascii="Century Gothic" w:hAnsi="Century Gothic"/>
          <w:sz w:val="28"/>
          <w:szCs w:val="28"/>
        </w:rPr>
        <w:t xml:space="preserve">Указанные издержки составляют в </w:t>
      </w:r>
      <w:proofErr w:type="gramStart"/>
      <w:r w:rsidRPr="00C10EC8">
        <w:rPr>
          <w:rFonts w:ascii="Century Gothic" w:hAnsi="Century Gothic"/>
          <w:sz w:val="28"/>
          <w:szCs w:val="28"/>
        </w:rPr>
        <w:t>среднем</w:t>
      </w:r>
      <w:proofErr w:type="gramEnd"/>
      <w:r w:rsidRPr="00C10EC8">
        <w:rPr>
          <w:rFonts w:ascii="Century Gothic" w:hAnsi="Century Gothic"/>
          <w:sz w:val="28"/>
          <w:szCs w:val="28"/>
        </w:rPr>
        <w:t xml:space="preserve"> 9100 рублей на получение одного разрешения в отношении 1 автомобиля.</w:t>
      </w:r>
    </w:p>
    <w:p w:rsidR="00AD2E15" w:rsidRDefault="00AD2E1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Указанные </w:t>
      </w:r>
      <w:r w:rsidR="00D70796">
        <w:rPr>
          <w:rFonts w:ascii="Century Gothic" w:hAnsi="Century Gothic"/>
          <w:sz w:val="28"/>
          <w:szCs w:val="28"/>
        </w:rPr>
        <w:t xml:space="preserve">    </w:t>
      </w:r>
      <w:r>
        <w:rPr>
          <w:rFonts w:ascii="Century Gothic" w:hAnsi="Century Gothic"/>
          <w:sz w:val="28"/>
          <w:szCs w:val="28"/>
        </w:rPr>
        <w:t xml:space="preserve">содержательные </w:t>
      </w:r>
      <w:r w:rsidR="00D70796">
        <w:rPr>
          <w:rFonts w:ascii="Century Gothic" w:hAnsi="Century Gothic"/>
          <w:sz w:val="28"/>
          <w:szCs w:val="28"/>
        </w:rPr>
        <w:t xml:space="preserve">     </w:t>
      </w:r>
      <w:r>
        <w:rPr>
          <w:rFonts w:ascii="Century Gothic" w:hAnsi="Century Gothic"/>
          <w:sz w:val="28"/>
          <w:szCs w:val="28"/>
        </w:rPr>
        <w:t>издержки</w:t>
      </w:r>
      <w:r w:rsidR="00D70796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 </w:t>
      </w:r>
      <w:r w:rsidR="00D70796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не </w:t>
      </w:r>
      <w:r w:rsidR="00D70796">
        <w:rPr>
          <w:rFonts w:ascii="Century Gothic" w:hAnsi="Century Gothic"/>
          <w:sz w:val="28"/>
          <w:szCs w:val="28"/>
        </w:rPr>
        <w:t xml:space="preserve">       </w:t>
      </w:r>
      <w:r>
        <w:rPr>
          <w:rFonts w:ascii="Century Gothic" w:hAnsi="Century Gothic"/>
          <w:sz w:val="28"/>
          <w:szCs w:val="28"/>
        </w:rPr>
        <w:t>являются</w:t>
      </w:r>
      <w:r w:rsidR="00D70796">
        <w:rPr>
          <w:rFonts w:ascii="Century Gothic" w:hAnsi="Century Gothic"/>
          <w:sz w:val="28"/>
          <w:szCs w:val="28"/>
        </w:rPr>
        <w:t xml:space="preserve">    </w:t>
      </w:r>
      <w:r>
        <w:rPr>
          <w:rFonts w:ascii="Century Gothic" w:hAnsi="Century Gothic"/>
          <w:sz w:val="28"/>
          <w:szCs w:val="28"/>
        </w:rPr>
        <w:t xml:space="preserve"> не </w:t>
      </w:r>
      <w:proofErr w:type="gramStart"/>
      <w:r>
        <w:rPr>
          <w:rFonts w:ascii="Century Gothic" w:hAnsi="Century Gothic"/>
          <w:sz w:val="28"/>
          <w:szCs w:val="28"/>
        </w:rPr>
        <w:t>обоснованными</w:t>
      </w:r>
      <w:proofErr w:type="gramEnd"/>
      <w:r>
        <w:rPr>
          <w:rFonts w:ascii="Century Gothic" w:hAnsi="Century Gothic"/>
          <w:sz w:val="28"/>
          <w:szCs w:val="28"/>
        </w:rPr>
        <w:t xml:space="preserve"> поскольку предусмотрены действующим федеральным законодательством.</w:t>
      </w:r>
    </w:p>
    <w:p w:rsidR="00E97DB5" w:rsidRPr="00E97DB5" w:rsidRDefault="00EF498F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В заключении было отмечено</w:t>
      </w:r>
      <w:r w:rsidR="00E97DB5" w:rsidRPr="00E97DB5">
        <w:rPr>
          <w:rFonts w:ascii="Century Gothic" w:hAnsi="Century Gothic"/>
          <w:sz w:val="28"/>
          <w:szCs w:val="28"/>
        </w:rPr>
        <w:t xml:space="preserve"> в качестве риска предлагаемого регулирования при его реализации (риски негативных последствий) то, что осмотр транспортного средства на соответствие его требованиям</w:t>
      </w:r>
      <w:r>
        <w:rPr>
          <w:rFonts w:ascii="Century Gothic" w:hAnsi="Century Gothic"/>
          <w:sz w:val="28"/>
          <w:szCs w:val="28"/>
        </w:rPr>
        <w:t xml:space="preserve"> (</w:t>
      </w:r>
      <w:r w:rsidR="00E97DB5" w:rsidRPr="00E97DB5">
        <w:rPr>
          <w:rFonts w:ascii="Century Gothic" w:hAnsi="Century Gothic"/>
          <w:sz w:val="28"/>
          <w:szCs w:val="28"/>
        </w:rPr>
        <w:t>наличия специальных знаков и оборудования, в период рассмотрения заявления о выдаче разрешения</w:t>
      </w:r>
      <w:r>
        <w:rPr>
          <w:rFonts w:ascii="Century Gothic" w:hAnsi="Century Gothic"/>
          <w:sz w:val="28"/>
          <w:szCs w:val="28"/>
        </w:rPr>
        <w:t>)</w:t>
      </w:r>
      <w:r w:rsidR="00E97DB5" w:rsidRPr="00E97DB5">
        <w:rPr>
          <w:rFonts w:ascii="Century Gothic" w:hAnsi="Century Gothic"/>
          <w:sz w:val="28"/>
          <w:szCs w:val="28"/>
        </w:rPr>
        <w:t xml:space="preserve"> не является абсолютной гарантией соблюдения указанных требований в течение срока действия разрешения (т.е. после его получения).</w:t>
      </w:r>
      <w:proofErr w:type="gramEnd"/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2. Предлага</w:t>
      </w:r>
      <w:r w:rsidR="005D6C79">
        <w:rPr>
          <w:rFonts w:ascii="Century Gothic" w:hAnsi="Century Gothic"/>
          <w:sz w:val="28"/>
          <w:szCs w:val="28"/>
        </w:rPr>
        <w:t>лось</w:t>
      </w:r>
      <w:r w:rsidRPr="00E97DB5">
        <w:rPr>
          <w:rFonts w:ascii="Century Gothic" w:hAnsi="Century Gothic"/>
          <w:sz w:val="28"/>
          <w:szCs w:val="28"/>
        </w:rPr>
        <w:t xml:space="preserve"> установить основания прекращения действия разрешения на осуществление деятельности по перевозке пассажиров и багажа легковым такси, а именно: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- представление перевозчиком заявления о прекращении деятельности по перевозке пассажиров и багажа легковым такси;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- представление перевозчиком заявления о прекращении действия разрешения;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 xml:space="preserve">- представление собственником транспортного средства, на которое выдано разрешение, заявления об утрате перевозчиком правовых оснований для использования транспортного средства, указанных в </w:t>
      </w:r>
      <w:hyperlink r:id="rId11" w:tooltip="Федеральный закон от 21.04.2011 N 69-ФЗ (ред. от 14.10.2014) &quot;О внесении изменений в отдельные законодательные акты Российской Федерации&quot;{КонсультантПлюс}" w:history="1">
        <w:r w:rsidRPr="00E97DB5">
          <w:rPr>
            <w:rFonts w:ascii="Century Gothic" w:hAnsi="Century Gothic"/>
            <w:sz w:val="28"/>
            <w:szCs w:val="28"/>
          </w:rPr>
          <w:t>части 2 статьи 9</w:t>
        </w:r>
      </w:hyperlink>
      <w:r w:rsidRPr="00E97DB5">
        <w:rPr>
          <w:rFonts w:ascii="Century Gothic" w:hAnsi="Century Gothic"/>
          <w:sz w:val="28"/>
          <w:szCs w:val="28"/>
        </w:rPr>
        <w:t xml:space="preserve"> Федерального закона от 21 апреля 2011 года № 69-ФЗ «О внесении изменений в отдельные законодательные акты Российской Федерации»;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 xml:space="preserve">- прекращение физическим лицом деятельности в </w:t>
      </w:r>
      <w:proofErr w:type="gramStart"/>
      <w:r w:rsidRPr="00E97DB5">
        <w:rPr>
          <w:rFonts w:ascii="Century Gothic" w:hAnsi="Century Gothic"/>
          <w:sz w:val="28"/>
          <w:szCs w:val="28"/>
        </w:rPr>
        <w:t>качестве</w:t>
      </w:r>
      <w:proofErr w:type="gramEnd"/>
      <w:r w:rsidRPr="00E97DB5">
        <w:rPr>
          <w:rFonts w:ascii="Century Gothic" w:hAnsi="Century Gothic"/>
          <w:sz w:val="28"/>
          <w:szCs w:val="28"/>
        </w:rPr>
        <w:t xml:space="preserve"> индивидуального предпринимателя;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- прекращение деятельности юридического лица.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 xml:space="preserve">Необходимость </w:t>
      </w:r>
      <w:proofErr w:type="gramStart"/>
      <w:r w:rsidRPr="00E97DB5">
        <w:rPr>
          <w:rFonts w:ascii="Century Gothic" w:hAnsi="Century Gothic"/>
          <w:sz w:val="28"/>
          <w:szCs w:val="28"/>
        </w:rPr>
        <w:t>введения предлагаемых оснований прекращения действия разрешения</w:t>
      </w:r>
      <w:proofErr w:type="gramEnd"/>
      <w:r w:rsidRPr="00E97DB5">
        <w:rPr>
          <w:rFonts w:ascii="Century Gothic" w:hAnsi="Century Gothic"/>
          <w:sz w:val="28"/>
          <w:szCs w:val="28"/>
        </w:rPr>
        <w:t xml:space="preserve"> на осуществление деятельности по перевозке пассажиров и багажа легковым такси </w:t>
      </w:r>
      <w:r w:rsidR="00A95F2E">
        <w:rPr>
          <w:rFonts w:ascii="Century Gothic" w:hAnsi="Century Gothic"/>
          <w:sz w:val="28"/>
          <w:szCs w:val="28"/>
        </w:rPr>
        <w:t xml:space="preserve">была </w:t>
      </w:r>
      <w:r w:rsidRPr="00E97DB5">
        <w:rPr>
          <w:rFonts w:ascii="Century Gothic" w:hAnsi="Century Gothic"/>
          <w:sz w:val="28"/>
          <w:szCs w:val="28"/>
        </w:rPr>
        <w:t>обозначена разработчиком в том, что существует проблема осуществления деятельности по перевозке такси без надлежащей регистрации в качестве юридического лица или индивидуального предпринимателя.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E97DB5">
        <w:rPr>
          <w:rFonts w:ascii="Century Gothic" w:hAnsi="Century Gothic"/>
          <w:sz w:val="28"/>
          <w:szCs w:val="28"/>
        </w:rPr>
        <w:t>Предлагаемое регулирование, по мнению разработчика, позволи</w:t>
      </w:r>
      <w:r w:rsidR="00A95F2E">
        <w:rPr>
          <w:rFonts w:ascii="Century Gothic" w:hAnsi="Century Gothic"/>
          <w:sz w:val="28"/>
          <w:szCs w:val="28"/>
        </w:rPr>
        <w:t>ло бы</w:t>
      </w:r>
      <w:r w:rsidRPr="00E97DB5">
        <w:rPr>
          <w:rFonts w:ascii="Century Gothic" w:hAnsi="Century Gothic"/>
          <w:sz w:val="28"/>
          <w:szCs w:val="28"/>
        </w:rPr>
        <w:t xml:space="preserve"> актуализировать реестр выданных разрешений на осуществление деятельности по перевозке пассажиров и багажа легковым такси, а также выводу из «теневого» сектора экономики нелегальных перевозчиков.</w:t>
      </w:r>
    </w:p>
    <w:p w:rsidR="00E97DB5" w:rsidRPr="00E97DB5" w:rsidRDefault="00A95F2E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В </w:t>
      </w:r>
      <w:proofErr w:type="gramStart"/>
      <w:r>
        <w:rPr>
          <w:rFonts w:ascii="Century Gothic" w:hAnsi="Century Gothic"/>
          <w:sz w:val="28"/>
          <w:szCs w:val="28"/>
        </w:rPr>
        <w:t>заключении</w:t>
      </w:r>
      <w:proofErr w:type="gramEnd"/>
      <w:r>
        <w:rPr>
          <w:rFonts w:ascii="Century Gothic" w:hAnsi="Century Gothic"/>
          <w:sz w:val="28"/>
          <w:szCs w:val="28"/>
        </w:rPr>
        <w:t xml:space="preserve"> отмечено</w:t>
      </w:r>
      <w:r w:rsidR="00E97DB5" w:rsidRPr="00E97DB5">
        <w:rPr>
          <w:rFonts w:ascii="Century Gothic" w:hAnsi="Century Gothic"/>
          <w:sz w:val="28"/>
          <w:szCs w:val="28"/>
        </w:rPr>
        <w:t>, что действующее федеральное законодательство устанавливает случаи отзыва (аннулирования) уполномоченным органом разрешения на осуществление деятельности по перевозке пассажиров и багажа легковым такси и внесения соответствующих записей в реестр выданных разрешений.</w:t>
      </w:r>
    </w:p>
    <w:p w:rsidR="00E97DB5" w:rsidRPr="00E97DB5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proofErr w:type="gramStart"/>
      <w:r w:rsidRPr="00E97DB5">
        <w:rPr>
          <w:rFonts w:ascii="Century Gothic" w:hAnsi="Century Gothic"/>
          <w:sz w:val="28"/>
          <w:szCs w:val="28"/>
        </w:rPr>
        <w:t xml:space="preserve">В качестве риска достижения заявленной цели предлагаемого регулирования при его реализации (риски негативных последствий) </w:t>
      </w:r>
      <w:r w:rsidR="00A95F2E">
        <w:rPr>
          <w:rFonts w:ascii="Century Gothic" w:hAnsi="Century Gothic"/>
          <w:sz w:val="28"/>
          <w:szCs w:val="28"/>
        </w:rPr>
        <w:t>отмечено</w:t>
      </w:r>
      <w:r w:rsidRPr="00E97DB5">
        <w:rPr>
          <w:rFonts w:ascii="Century Gothic" w:hAnsi="Century Gothic"/>
          <w:sz w:val="28"/>
          <w:szCs w:val="28"/>
        </w:rPr>
        <w:t xml:space="preserve"> то, что внесение в реестр записи о прекращении действия разрешения на осуществление деятельности по перевозке пассажиров и багажа легковым такси на территории области, само по себе не является абсолютной гарантией не использования выданного разрешения на осуществление деятельности по перевозке пассажиров и багажа легковым такси лицом</w:t>
      </w:r>
      <w:proofErr w:type="gramEnd"/>
      <w:r w:rsidRPr="00E97DB5">
        <w:rPr>
          <w:rFonts w:ascii="Century Gothic" w:hAnsi="Century Gothic"/>
          <w:sz w:val="28"/>
          <w:szCs w:val="28"/>
        </w:rPr>
        <w:t xml:space="preserve"> без государственной регистрации в налогом органе в качестве юридического лица или индивидуального предпринимателя (разрешение не изымается, остается на руках у лица его получившего).</w:t>
      </w:r>
    </w:p>
    <w:p w:rsidR="00A95F2E" w:rsidRPr="006A7666" w:rsidRDefault="006A7666" w:rsidP="006A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eastAsia="Calibri" w:hAnsi="Century Gothic"/>
          <w:sz w:val="28"/>
          <w:szCs w:val="28"/>
        </w:rPr>
      </w:pPr>
      <w:proofErr w:type="gramStart"/>
      <w:r w:rsidRPr="006A7666">
        <w:rPr>
          <w:rFonts w:ascii="Century Gothic" w:hAnsi="Century Gothic"/>
          <w:sz w:val="28"/>
          <w:szCs w:val="28"/>
        </w:rPr>
        <w:t>В заключении на проект сделан вывод о том, что</w:t>
      </w:r>
      <w:r w:rsidRPr="006A7666">
        <w:rPr>
          <w:rFonts w:ascii="Century Gothic" w:eastAsia="Calibri" w:hAnsi="Century Gothic"/>
          <w:sz w:val="28"/>
          <w:szCs w:val="28"/>
        </w:rPr>
        <w:t xml:space="preserve"> в </w:t>
      </w:r>
      <w:r w:rsidR="005D6C79">
        <w:rPr>
          <w:rFonts w:ascii="Century Gothic" w:eastAsia="Calibri" w:hAnsi="Century Gothic"/>
          <w:sz w:val="28"/>
          <w:szCs w:val="28"/>
        </w:rPr>
        <w:t xml:space="preserve">нем </w:t>
      </w:r>
      <w:r w:rsidR="00A95F2E" w:rsidRPr="006A7666">
        <w:rPr>
          <w:rFonts w:ascii="Century Gothic" w:eastAsia="Calibri" w:hAnsi="Century Gothic"/>
          <w:sz w:val="28"/>
          <w:szCs w:val="28"/>
        </w:rPr>
        <w:t>имеются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имеются положения, способствующие возникновению необоснованных расходов субъектов предпринимательской и инвестиционной деятельности и областного бюджета.</w:t>
      </w:r>
      <w:proofErr w:type="gramEnd"/>
    </w:p>
    <w:p w:rsidR="00F6470A" w:rsidRPr="00465855" w:rsidRDefault="00F6470A" w:rsidP="00E9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entury Gothic" w:eastAsia="Calibri" w:hAnsi="Century Gothic"/>
          <w:sz w:val="28"/>
          <w:szCs w:val="28"/>
        </w:rPr>
      </w:pPr>
    </w:p>
    <w:sectPr w:rsidR="00F6470A" w:rsidRPr="00465855" w:rsidSect="00C50C26">
      <w:headerReference w:type="defaul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8F" w:rsidRDefault="0025668F" w:rsidP="00274826">
      <w:pPr>
        <w:spacing w:after="0" w:line="240" w:lineRule="auto"/>
      </w:pPr>
      <w:r>
        <w:separator/>
      </w:r>
    </w:p>
  </w:endnote>
  <w:endnote w:type="continuationSeparator" w:id="0">
    <w:p w:rsidR="0025668F" w:rsidRDefault="0025668F" w:rsidP="0027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8F" w:rsidRDefault="0025668F" w:rsidP="00274826">
      <w:pPr>
        <w:spacing w:after="0" w:line="240" w:lineRule="auto"/>
      </w:pPr>
      <w:r>
        <w:separator/>
      </w:r>
    </w:p>
  </w:footnote>
  <w:footnote w:type="continuationSeparator" w:id="0">
    <w:p w:rsidR="0025668F" w:rsidRDefault="0025668F" w:rsidP="00274826">
      <w:pPr>
        <w:spacing w:after="0" w:line="240" w:lineRule="auto"/>
      </w:pPr>
      <w:r>
        <w:continuationSeparator/>
      </w:r>
    </w:p>
  </w:footnote>
  <w:footnote w:id="1">
    <w:p w:rsidR="00872A29" w:rsidRDefault="00872A29" w:rsidP="00872A29">
      <w:pPr>
        <w:pStyle w:val="a6"/>
        <w:ind w:firstLine="567"/>
        <w:rPr>
          <w:rFonts w:ascii="Century Gothic" w:hAnsi="Century Gothic"/>
        </w:rPr>
      </w:pPr>
      <w:r w:rsidRPr="00465855">
        <w:rPr>
          <w:rStyle w:val="a8"/>
          <w:rFonts w:ascii="Century Gothic" w:hAnsi="Century Gothic"/>
        </w:rPr>
        <w:footnoteRef/>
      </w:r>
      <w:r w:rsidRPr="00465855">
        <w:rPr>
          <w:rFonts w:ascii="Century Gothic" w:hAnsi="Century Gothic"/>
        </w:rPr>
        <w:t xml:space="preserve"> </w:t>
      </w:r>
      <w:r w:rsidR="006C2E59" w:rsidRPr="00465855">
        <w:rPr>
          <w:rFonts w:ascii="Century Gothic" w:hAnsi="Century Gothic"/>
        </w:rPr>
        <w:t>с</w:t>
      </w:r>
      <w:r w:rsidRPr="00465855">
        <w:rPr>
          <w:rFonts w:ascii="Century Gothic" w:hAnsi="Century Gothic"/>
        </w:rPr>
        <w:t xml:space="preserve"> проектом и заключением можно ознакомиться на официальном сайте Правительства области  </w:t>
      </w:r>
      <w:hyperlink r:id="rId1" w:history="1">
        <w:r w:rsidR="006A7666" w:rsidRPr="00370368">
          <w:rPr>
            <w:rStyle w:val="aa"/>
            <w:rFonts w:ascii="Century Gothic" w:hAnsi="Century Gothic"/>
          </w:rPr>
          <w:t>http://vologda-oblast.ru/dokumenty/otsenka_reguliruyushchego_vozdeystviya/1285362/</w:t>
        </w:r>
      </w:hyperlink>
    </w:p>
    <w:p w:rsidR="006A7666" w:rsidRPr="00465855" w:rsidRDefault="006A7666" w:rsidP="00872A29">
      <w:pPr>
        <w:pStyle w:val="a6"/>
        <w:ind w:firstLine="567"/>
        <w:rPr>
          <w:rFonts w:ascii="Century Gothic" w:hAnsi="Century Gothic"/>
        </w:rPr>
      </w:pPr>
    </w:p>
  </w:footnote>
  <w:footnote w:id="2">
    <w:p w:rsidR="00B432F9" w:rsidRPr="00B8265D" w:rsidRDefault="00B432F9" w:rsidP="00B8265D">
      <w:pPr>
        <w:pStyle w:val="a6"/>
        <w:jc w:val="both"/>
        <w:rPr>
          <w:rFonts w:ascii="Century Gothic" w:hAnsi="Century Gothic"/>
        </w:rPr>
      </w:pPr>
      <w:r w:rsidRPr="00B8265D">
        <w:rPr>
          <w:rStyle w:val="a8"/>
          <w:rFonts w:ascii="Century Gothic" w:hAnsi="Century Gothic"/>
        </w:rPr>
        <w:footnoteRef/>
      </w:r>
      <w:r w:rsidRPr="00B8265D">
        <w:rPr>
          <w:rFonts w:ascii="Century Gothic" w:hAnsi="Century Gothic"/>
        </w:rPr>
        <w:t xml:space="preserve"> В </w:t>
      </w:r>
      <w:proofErr w:type="gramStart"/>
      <w:r w:rsidRPr="00B8265D">
        <w:rPr>
          <w:rFonts w:ascii="Century Gothic" w:hAnsi="Century Gothic"/>
        </w:rPr>
        <w:t>соответствии</w:t>
      </w:r>
      <w:proofErr w:type="gramEnd"/>
      <w:r w:rsidRPr="00B8265D">
        <w:rPr>
          <w:rFonts w:ascii="Century Gothic" w:hAnsi="Century Gothic"/>
        </w:rPr>
        <w:t xml:space="preserve">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РФ от 22.09.2015 № 669.</w:t>
      </w:r>
    </w:p>
  </w:footnote>
  <w:footnote w:id="3">
    <w:p w:rsidR="00B432F9" w:rsidRPr="00B8265D" w:rsidRDefault="00B432F9" w:rsidP="00B8265D">
      <w:pPr>
        <w:pStyle w:val="a6"/>
        <w:jc w:val="both"/>
        <w:rPr>
          <w:rFonts w:ascii="Century Gothic" w:hAnsi="Century Gothic"/>
        </w:rPr>
      </w:pPr>
      <w:r w:rsidRPr="00B8265D">
        <w:rPr>
          <w:rStyle w:val="a8"/>
          <w:rFonts w:ascii="Century Gothic" w:hAnsi="Century Gothic"/>
        </w:rPr>
        <w:footnoteRef/>
      </w:r>
      <w:r w:rsidRPr="00B8265D">
        <w:rPr>
          <w:rFonts w:ascii="Century Gothic" w:hAnsi="Century Gothic"/>
        </w:rPr>
        <w:t xml:space="preserve"> Калькулятор стандартных издержек субъектов предпринимательской и иной экономической деятельности, размещенный на </w:t>
      </w:r>
      <w:hyperlink r:id="rId2" w:history="1">
        <w:r w:rsidRPr="00B8265D">
          <w:rPr>
            <w:rStyle w:val="aa"/>
            <w:rFonts w:ascii="Century Gothic" w:eastAsia="Calibri" w:hAnsi="Century Gothic"/>
          </w:rPr>
          <w:t>http://regulation.gov.ru/Dashboard</w:t>
        </w:r>
      </w:hyperlink>
      <w:r w:rsidRPr="00B8265D">
        <w:rPr>
          <w:rFonts w:ascii="Century Gothic" w:hAnsi="Century Gothic"/>
        </w:rPr>
        <w:t xml:space="preserve">. </w:t>
      </w:r>
    </w:p>
  </w:footnote>
  <w:footnote w:id="4">
    <w:p w:rsidR="006C2E59" w:rsidRDefault="006C2E59" w:rsidP="006C2E59">
      <w:pPr>
        <w:pStyle w:val="a6"/>
        <w:ind w:firstLine="567"/>
        <w:rPr>
          <w:rFonts w:ascii="Century Gothic" w:hAnsi="Century Gothic"/>
        </w:rPr>
      </w:pPr>
      <w:r w:rsidRPr="00465855">
        <w:rPr>
          <w:rStyle w:val="a8"/>
          <w:rFonts w:ascii="Century Gothic" w:hAnsi="Century Gothic"/>
        </w:rPr>
        <w:footnoteRef/>
      </w:r>
      <w:r w:rsidRPr="00465855">
        <w:rPr>
          <w:rFonts w:ascii="Century Gothic" w:hAnsi="Century Gothic"/>
        </w:rPr>
        <w:t xml:space="preserve"> с проектом и заключением можно ознакомиться на официальном сайте Правительства области </w:t>
      </w:r>
      <w:hyperlink r:id="rId3" w:history="1">
        <w:r w:rsidR="006A7666" w:rsidRPr="00370368">
          <w:rPr>
            <w:rStyle w:val="aa"/>
            <w:rFonts w:ascii="Century Gothic" w:hAnsi="Century Gothic"/>
          </w:rPr>
          <w:t>http://vologda-oblast.ru/dokumenty/otsenka_reguliruyushchego_vozdeystviya/1285025/</w:t>
        </w:r>
      </w:hyperlink>
    </w:p>
    <w:p w:rsidR="006A7666" w:rsidRDefault="006A7666" w:rsidP="006C2E59">
      <w:pPr>
        <w:pStyle w:val="a6"/>
        <w:ind w:firstLine="567"/>
      </w:pPr>
    </w:p>
  </w:footnote>
  <w:footnote w:id="5">
    <w:p w:rsidR="00E97DB5" w:rsidRPr="00EF498F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0"/>
          <w:szCs w:val="20"/>
        </w:rPr>
      </w:pPr>
      <w:r w:rsidRPr="00EF498F">
        <w:rPr>
          <w:rFonts w:ascii="Century Gothic" w:hAnsi="Century Gothic"/>
          <w:sz w:val="20"/>
          <w:szCs w:val="20"/>
        </w:rPr>
        <w:footnoteRef/>
      </w:r>
      <w:r w:rsidRPr="00EF498F">
        <w:rPr>
          <w:rFonts w:ascii="Century Gothic" w:hAnsi="Century Gothic"/>
          <w:sz w:val="20"/>
          <w:szCs w:val="20"/>
        </w:rPr>
        <w:t xml:space="preserve"> В </w:t>
      </w:r>
      <w:proofErr w:type="gramStart"/>
      <w:r w:rsidRPr="00EF498F">
        <w:rPr>
          <w:rFonts w:ascii="Century Gothic" w:hAnsi="Century Gothic"/>
          <w:sz w:val="20"/>
          <w:szCs w:val="20"/>
        </w:rPr>
        <w:t>соответствии</w:t>
      </w:r>
      <w:proofErr w:type="gramEnd"/>
      <w:r w:rsidRPr="00EF498F">
        <w:rPr>
          <w:rFonts w:ascii="Century Gothic" w:hAnsi="Century Gothic"/>
          <w:sz w:val="20"/>
          <w:szCs w:val="20"/>
        </w:rPr>
        <w:t xml:space="preserve">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РФ от 22.09.2015 № 669.</w:t>
      </w:r>
    </w:p>
  </w:footnote>
  <w:footnote w:id="6">
    <w:p w:rsidR="00E97DB5" w:rsidRPr="00EF498F" w:rsidRDefault="00E97DB5" w:rsidP="006A7666">
      <w:pPr>
        <w:spacing w:after="0" w:line="240" w:lineRule="auto"/>
        <w:ind w:firstLine="567"/>
        <w:jc w:val="both"/>
        <w:rPr>
          <w:rFonts w:ascii="Century Gothic" w:hAnsi="Century Gothic"/>
          <w:sz w:val="20"/>
          <w:szCs w:val="20"/>
        </w:rPr>
      </w:pPr>
      <w:r w:rsidRPr="00EF498F">
        <w:rPr>
          <w:rFonts w:ascii="Century Gothic" w:hAnsi="Century Gothic"/>
          <w:sz w:val="20"/>
          <w:szCs w:val="20"/>
        </w:rPr>
        <w:footnoteRef/>
      </w:r>
      <w:r w:rsidRPr="00EF498F">
        <w:rPr>
          <w:rFonts w:ascii="Century Gothic" w:hAnsi="Century Gothic"/>
          <w:sz w:val="20"/>
          <w:szCs w:val="20"/>
        </w:rPr>
        <w:t xml:space="preserve"> В </w:t>
      </w:r>
      <w:proofErr w:type="gramStart"/>
      <w:r w:rsidRPr="00EF498F">
        <w:rPr>
          <w:rFonts w:ascii="Century Gothic" w:hAnsi="Century Gothic"/>
          <w:sz w:val="20"/>
          <w:szCs w:val="20"/>
        </w:rPr>
        <w:t>соответствии</w:t>
      </w:r>
      <w:proofErr w:type="gramEnd"/>
      <w:r w:rsidRPr="00EF498F">
        <w:rPr>
          <w:rFonts w:ascii="Century Gothic" w:hAnsi="Century Gothic"/>
          <w:sz w:val="20"/>
          <w:szCs w:val="20"/>
        </w:rPr>
        <w:t xml:space="preserve">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РФ от 22.09.2015 № 669.</w:t>
      </w:r>
    </w:p>
  </w:footnote>
  <w:footnote w:id="7">
    <w:p w:rsidR="00E97DB5" w:rsidRPr="00006CED" w:rsidRDefault="00E97DB5" w:rsidP="006A7666">
      <w:pPr>
        <w:spacing w:after="0" w:line="240" w:lineRule="auto"/>
        <w:ind w:firstLine="567"/>
        <w:jc w:val="both"/>
        <w:rPr>
          <w:rStyle w:val="a8"/>
        </w:rPr>
      </w:pPr>
      <w:r w:rsidRPr="00EF498F">
        <w:rPr>
          <w:rFonts w:ascii="Century Gothic" w:hAnsi="Century Gothic"/>
          <w:sz w:val="20"/>
          <w:szCs w:val="20"/>
        </w:rPr>
        <w:footnoteRef/>
      </w:r>
      <w:r w:rsidRPr="00EF498F">
        <w:rPr>
          <w:rFonts w:ascii="Century Gothic" w:hAnsi="Century Gothic"/>
          <w:sz w:val="20"/>
          <w:szCs w:val="20"/>
        </w:rPr>
        <w:t xml:space="preserve"> По данным разработчика Проекта акта.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1444"/>
      <w:docPartObj>
        <w:docPartGallery w:val="Page Numbers (Top of Page)"/>
        <w:docPartUnique/>
      </w:docPartObj>
    </w:sdtPr>
    <w:sdtContent>
      <w:p w:rsidR="00EC3895" w:rsidRDefault="00B46012">
        <w:pPr>
          <w:pStyle w:val="ab"/>
          <w:jc w:val="center"/>
        </w:pPr>
        <w:r>
          <w:fldChar w:fldCharType="begin"/>
        </w:r>
        <w:r w:rsidR="0025668F">
          <w:instrText xml:space="preserve"> PAGE   \* MERGEFORMAT </w:instrText>
        </w:r>
        <w:r>
          <w:fldChar w:fldCharType="separate"/>
        </w:r>
        <w:r w:rsidR="000A0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895" w:rsidRDefault="00EC38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456"/>
    <w:multiLevelType w:val="multilevel"/>
    <w:tmpl w:val="1390E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AA24C2"/>
    <w:multiLevelType w:val="hybridMultilevel"/>
    <w:tmpl w:val="F0D0FA74"/>
    <w:lvl w:ilvl="0" w:tplc="9CA018A6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76C53"/>
    <w:multiLevelType w:val="hybridMultilevel"/>
    <w:tmpl w:val="E8A6E17E"/>
    <w:lvl w:ilvl="0" w:tplc="3E2802AC">
      <w:start w:val="1"/>
      <w:numFmt w:val="decimal"/>
      <w:lvlText w:val="%1)"/>
      <w:lvlJc w:val="left"/>
      <w:pPr>
        <w:ind w:left="1872" w:hanging="13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2B77F4"/>
    <w:multiLevelType w:val="hybridMultilevel"/>
    <w:tmpl w:val="BC406ACA"/>
    <w:lvl w:ilvl="0" w:tplc="E90CF0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6E812634"/>
    <w:multiLevelType w:val="hybridMultilevel"/>
    <w:tmpl w:val="B7B0938A"/>
    <w:lvl w:ilvl="0" w:tplc="13DE8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A9"/>
    <w:rsid w:val="00000792"/>
    <w:rsid w:val="00007367"/>
    <w:rsid w:val="00037E67"/>
    <w:rsid w:val="00040809"/>
    <w:rsid w:val="0004153E"/>
    <w:rsid w:val="00042EA0"/>
    <w:rsid w:val="000500E0"/>
    <w:rsid w:val="0006193B"/>
    <w:rsid w:val="0006546C"/>
    <w:rsid w:val="000862A6"/>
    <w:rsid w:val="000A0707"/>
    <w:rsid w:val="000A3E10"/>
    <w:rsid w:val="001125DE"/>
    <w:rsid w:val="001266E8"/>
    <w:rsid w:val="001300E5"/>
    <w:rsid w:val="00167B68"/>
    <w:rsid w:val="00174549"/>
    <w:rsid w:val="001B7471"/>
    <w:rsid w:val="001D0BF3"/>
    <w:rsid w:val="00200CEF"/>
    <w:rsid w:val="00216E09"/>
    <w:rsid w:val="00250674"/>
    <w:rsid w:val="002539BE"/>
    <w:rsid w:val="0025668F"/>
    <w:rsid w:val="00257EF4"/>
    <w:rsid w:val="00274826"/>
    <w:rsid w:val="002C1DA2"/>
    <w:rsid w:val="002F0DC6"/>
    <w:rsid w:val="002F1C19"/>
    <w:rsid w:val="00336060"/>
    <w:rsid w:val="003522CB"/>
    <w:rsid w:val="00353632"/>
    <w:rsid w:val="003545D9"/>
    <w:rsid w:val="003641A3"/>
    <w:rsid w:val="003654E0"/>
    <w:rsid w:val="00373650"/>
    <w:rsid w:val="003D15A2"/>
    <w:rsid w:val="004113E7"/>
    <w:rsid w:val="00413B3E"/>
    <w:rsid w:val="00465855"/>
    <w:rsid w:val="00486EAC"/>
    <w:rsid w:val="00497CF1"/>
    <w:rsid w:val="004B0472"/>
    <w:rsid w:val="004B2D04"/>
    <w:rsid w:val="004D552E"/>
    <w:rsid w:val="00501586"/>
    <w:rsid w:val="00521AD8"/>
    <w:rsid w:val="00522159"/>
    <w:rsid w:val="00527FC7"/>
    <w:rsid w:val="00544973"/>
    <w:rsid w:val="00592C29"/>
    <w:rsid w:val="005B4C8E"/>
    <w:rsid w:val="005D6C79"/>
    <w:rsid w:val="005F3C21"/>
    <w:rsid w:val="00604911"/>
    <w:rsid w:val="00666B8E"/>
    <w:rsid w:val="0068536C"/>
    <w:rsid w:val="006A3CB4"/>
    <w:rsid w:val="006A7666"/>
    <w:rsid w:val="006C2E59"/>
    <w:rsid w:val="006F48C8"/>
    <w:rsid w:val="00734C7A"/>
    <w:rsid w:val="007839B1"/>
    <w:rsid w:val="007D24A0"/>
    <w:rsid w:val="007F3946"/>
    <w:rsid w:val="00864E40"/>
    <w:rsid w:val="00872A29"/>
    <w:rsid w:val="008A1384"/>
    <w:rsid w:val="00916826"/>
    <w:rsid w:val="00940BEF"/>
    <w:rsid w:val="0094541F"/>
    <w:rsid w:val="00963184"/>
    <w:rsid w:val="009750DB"/>
    <w:rsid w:val="00980003"/>
    <w:rsid w:val="009C1515"/>
    <w:rsid w:val="00A23C85"/>
    <w:rsid w:val="00A31205"/>
    <w:rsid w:val="00A5303E"/>
    <w:rsid w:val="00A72A17"/>
    <w:rsid w:val="00A82693"/>
    <w:rsid w:val="00A95F2E"/>
    <w:rsid w:val="00AD2E15"/>
    <w:rsid w:val="00AE4157"/>
    <w:rsid w:val="00B432F9"/>
    <w:rsid w:val="00B435C1"/>
    <w:rsid w:val="00B46012"/>
    <w:rsid w:val="00B722E0"/>
    <w:rsid w:val="00B73F19"/>
    <w:rsid w:val="00B8265D"/>
    <w:rsid w:val="00B97A2E"/>
    <w:rsid w:val="00BC415A"/>
    <w:rsid w:val="00BE3CFD"/>
    <w:rsid w:val="00BF56E6"/>
    <w:rsid w:val="00C00898"/>
    <w:rsid w:val="00C02E6F"/>
    <w:rsid w:val="00C10EC8"/>
    <w:rsid w:val="00C2539A"/>
    <w:rsid w:val="00C50C26"/>
    <w:rsid w:val="00C54F34"/>
    <w:rsid w:val="00C81B5A"/>
    <w:rsid w:val="00CA7D7F"/>
    <w:rsid w:val="00CB3238"/>
    <w:rsid w:val="00CD365E"/>
    <w:rsid w:val="00CD59F1"/>
    <w:rsid w:val="00CD5F18"/>
    <w:rsid w:val="00CD662E"/>
    <w:rsid w:val="00CF253B"/>
    <w:rsid w:val="00D65BD3"/>
    <w:rsid w:val="00D70796"/>
    <w:rsid w:val="00D936A2"/>
    <w:rsid w:val="00DD55BB"/>
    <w:rsid w:val="00DF1B35"/>
    <w:rsid w:val="00E215B9"/>
    <w:rsid w:val="00E44FB9"/>
    <w:rsid w:val="00E56D07"/>
    <w:rsid w:val="00E97DB5"/>
    <w:rsid w:val="00EB27AD"/>
    <w:rsid w:val="00EB2DA9"/>
    <w:rsid w:val="00EC3895"/>
    <w:rsid w:val="00EE5112"/>
    <w:rsid w:val="00EF3C47"/>
    <w:rsid w:val="00EF498F"/>
    <w:rsid w:val="00EF6D06"/>
    <w:rsid w:val="00F057D1"/>
    <w:rsid w:val="00F223B1"/>
    <w:rsid w:val="00F40C66"/>
    <w:rsid w:val="00F46399"/>
    <w:rsid w:val="00F54784"/>
    <w:rsid w:val="00F56DAF"/>
    <w:rsid w:val="00F6470A"/>
    <w:rsid w:val="00F729AC"/>
    <w:rsid w:val="00F77D9D"/>
    <w:rsid w:val="00F876FD"/>
    <w:rsid w:val="00FC3D5F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748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48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74826"/>
    <w:rPr>
      <w:vertAlign w:val="superscript"/>
    </w:rPr>
  </w:style>
  <w:style w:type="paragraph" w:styleId="a9">
    <w:name w:val="Normal (Web)"/>
    <w:basedOn w:val="a"/>
    <w:uiPriority w:val="99"/>
    <w:unhideWhenUsed/>
    <w:rsid w:val="007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24A0"/>
    <w:rPr>
      <w:color w:val="0000FF"/>
      <w:u w:val="single"/>
    </w:rPr>
  </w:style>
  <w:style w:type="paragraph" w:customStyle="1" w:styleId="Default">
    <w:name w:val="Default"/>
    <w:rsid w:val="00916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C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3895"/>
  </w:style>
  <w:style w:type="paragraph" w:styleId="ad">
    <w:name w:val="footer"/>
    <w:basedOn w:val="a"/>
    <w:link w:val="ae"/>
    <w:uiPriority w:val="99"/>
    <w:semiHidden/>
    <w:unhideWhenUsed/>
    <w:rsid w:val="00EC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3895"/>
  </w:style>
  <w:style w:type="character" w:customStyle="1" w:styleId="FontStyle13">
    <w:name w:val="Font Style13"/>
    <w:basedOn w:val="a0"/>
    <w:rsid w:val="00B432F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97D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E97DB5"/>
    <w:rPr>
      <w:rFonts w:ascii="Arial" w:eastAsia="Calibri" w:hAnsi="Arial" w:cs="Arial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547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478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478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478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47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CAB3ED7ABD67EBD623F356D9D68DC4F1B694B5B68B7D4AA84BD01B9284CC0682B377535E830653X5hC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ologda-oblast.ru/dokumenty/otsenka_reguliruyushchego_vozdeystviya/1285025/" TargetMode="External"/><Relationship Id="rId2" Type="http://schemas.openxmlformats.org/officeDocument/2006/relationships/hyperlink" Target="http://regulation.gov.ru/Dashboard" TargetMode="External"/><Relationship Id="rId1" Type="http://schemas.openxmlformats.org/officeDocument/2006/relationships/hyperlink" Target="http://vologda-oblast.ru/dokumenty/otsenka_reguliruyushchego_vozdeystviya/128536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576199526783366E-5"/>
          <c:y val="2.2463479943794912E-3"/>
          <c:w val="0.93624222319432304"/>
          <c:h val="0.8780032006448157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возвращенных на доработку проектов, из общего объема поступивших за 1 квартал</c:v>
                </c:pt>
              </c:strCache>
            </c:strRef>
          </c:tx>
          <c:spPr>
            <a:solidFill>
              <a:srgbClr val="EB4F69"/>
            </a:solidFill>
            <a:ln>
              <a:noFill/>
            </a:ln>
          </c:spPr>
          <c:dLbls>
            <c:dLbl>
              <c:idx val="0"/>
              <c:layout>
                <c:manualLayout>
                  <c:x val="2.771094585399056E-3"/>
                  <c:y val="-7.091860892367006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</a:t>
                    </a:r>
                    <a:r>
                      <a:rPr lang="en-US"/>
                      <a:t> (6%)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7534266550014578E-3"/>
                  <c:y val="-0.1749271922903482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</a:t>
                    </a:r>
                    <a:r>
                      <a:rPr lang="en-US"/>
                      <a:t>7 (49%)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9626227277146107E-3"/>
                  <c:y val="-0.1493947254981979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</a:t>
                    </a:r>
                    <a:r>
                      <a:rPr lang="en-US"/>
                      <a:t>4 (23%)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</c:numRef>
          </c:val>
        </c:ser>
        <c:overlap val="100"/>
        <c:axId val="89619072"/>
        <c:axId val="89633152"/>
      </c:barChart>
      <c:catAx>
        <c:axId val="89619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9633152"/>
        <c:crosses val="autoZero"/>
        <c:auto val="1"/>
        <c:lblAlgn val="ctr"/>
        <c:lblOffset val="100"/>
      </c:catAx>
      <c:valAx>
        <c:axId val="89633152"/>
        <c:scaling>
          <c:orientation val="minMax"/>
        </c:scaling>
        <c:delete val="1"/>
        <c:axPos val="l"/>
        <c:numFmt formatCode="General" sourceLinked="1"/>
        <c:tickLblPos val="none"/>
        <c:crossAx val="896190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3.5443763973947773E-2"/>
          <c:y val="7.5312149038779331E-3"/>
          <c:w val="0.41162814717604818"/>
          <c:h val="0.4475920373189089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>
          <a:latin typeface="Century Gothic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7396738602119176"/>
          <c:y val="3.6478424591628381E-2"/>
          <c:w val="0.50288446583065738"/>
          <c:h val="0.9382672814603205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7"/>
                <c:pt idx="0">
                  <c:v>Департамент социальной защиты населения </c:v>
                </c:pt>
                <c:pt idx="1">
                  <c:v>ЗСО</c:v>
                </c:pt>
                <c:pt idx="2">
                  <c:v>Департамент экономического развития</c:v>
                </c:pt>
                <c:pt idx="3">
                  <c:v>Департамент труда и занятости населения</c:v>
                </c:pt>
                <c:pt idx="4">
                  <c:v>Департамент дорожного хозяйства и транспорта</c:v>
                </c:pt>
                <c:pt idx="5">
                  <c:v>Департамент сельского ходяйства и продовольственных ресурсов </c:v>
                </c:pt>
                <c:pt idx="6">
                  <c:v>Департамент имущественных отношений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Лист1!$A$2:$A$13</c:f>
              <c:strCache>
                <c:ptCount val="7"/>
                <c:pt idx="0">
                  <c:v>Департамент социальной защиты населения </c:v>
                </c:pt>
                <c:pt idx="1">
                  <c:v>ЗСО</c:v>
                </c:pt>
                <c:pt idx="2">
                  <c:v>Департамент экономического развития</c:v>
                </c:pt>
                <c:pt idx="3">
                  <c:v>Департамент труда и занятости населения</c:v>
                </c:pt>
                <c:pt idx="4">
                  <c:v>Департамент дорожного хозяйства и транспорта</c:v>
                </c:pt>
                <c:pt idx="5">
                  <c:v>Департамент сельского ходяйства и продовольственных ресурсов </c:v>
                </c:pt>
                <c:pt idx="6">
                  <c:v>Департамент имущественных отношений</c:v>
                </c:pt>
              </c:strCache>
            </c:strRef>
          </c:cat>
          <c:val>
            <c:numRef>
              <c:f>Лист1!$C$2:$C$13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Лист1!$A$2:$A$13</c:f>
              <c:strCache>
                <c:ptCount val="7"/>
                <c:pt idx="0">
                  <c:v>Департамент социальной защиты населения </c:v>
                </c:pt>
                <c:pt idx="1">
                  <c:v>ЗСО</c:v>
                </c:pt>
                <c:pt idx="2">
                  <c:v>Департамент экономического развития</c:v>
                </c:pt>
                <c:pt idx="3">
                  <c:v>Департамент труда и занятости населения</c:v>
                </c:pt>
                <c:pt idx="4">
                  <c:v>Департамент дорожного хозяйства и транспорта</c:v>
                </c:pt>
                <c:pt idx="5">
                  <c:v>Департамент сельского ходяйства и продовольственных ресурсов </c:v>
                </c:pt>
                <c:pt idx="6">
                  <c:v>Департамент имущественных отношений</c:v>
                </c:pt>
              </c:strCache>
            </c:strRef>
          </c:cat>
          <c:val>
            <c:numRef>
              <c:f>Лист1!$D$2:$D$13</c:f>
            </c:numRef>
          </c:val>
        </c:ser>
        <c:axId val="89134208"/>
        <c:axId val="89135744"/>
      </c:barChart>
      <c:catAx>
        <c:axId val="89134208"/>
        <c:scaling>
          <c:orientation val="minMax"/>
        </c:scaling>
        <c:axPos val="l"/>
        <c:numFmt formatCode="General" sourceLinked="1"/>
        <c:tickLblPos val="nextTo"/>
        <c:crossAx val="89135744"/>
        <c:crosses val="autoZero"/>
        <c:auto val="1"/>
        <c:lblAlgn val="ctr"/>
        <c:lblOffset val="100"/>
      </c:catAx>
      <c:valAx>
        <c:axId val="89135744"/>
        <c:scaling>
          <c:orientation val="minMax"/>
        </c:scaling>
        <c:delete val="1"/>
        <c:axPos val="b"/>
        <c:numFmt formatCode="General" sourceLinked="1"/>
        <c:tickLblPos val="none"/>
        <c:crossAx val="89134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800">
          <a:latin typeface="Century Gothic" pitchFamily="34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"/>
          <c:y val="4.3413935742299563E-2"/>
          <c:w val="0.98558821924197049"/>
          <c:h val="0.8820318672287176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2200" b="1">
                    <a:solidFill>
                      <a:schemeClr val="bg1"/>
                    </a:solidFill>
                    <a:latin typeface="Century Gothic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отрицательные</c:v>
                </c:pt>
              </c:strCache>
            </c:strRef>
          </c:tx>
          <c:spPr>
            <a:solidFill>
              <a:srgbClr val="EB4F69"/>
            </a:solidFill>
          </c:spPr>
          <c:dLbls>
            <c:dLbl>
              <c:idx val="0"/>
              <c:layout>
                <c:manualLayout>
                  <c:x val="-2.6381131424315957E-3"/>
                  <c:y val="-7.4760146507110339E-2"/>
                </c:manualLayout>
              </c:layout>
              <c:showVal val="1"/>
            </c:dLbl>
            <c:dLbl>
              <c:idx val="1"/>
              <c:layout>
                <c:manualLayout>
                  <c:x val="3.2966222859973095E-3"/>
                  <c:y val="-5.4267474554109567E-2"/>
                </c:manualLayout>
              </c:layout>
              <c:showVal val="1"/>
            </c:dLbl>
            <c:dLbl>
              <c:idx val="2"/>
              <c:layout>
                <c:manualLayout>
                  <c:x val="1.3043236741811324E-3"/>
                  <c:y val="-6.7672414507840922E-2"/>
                </c:manualLayout>
              </c:layout>
              <c:showVal val="1"/>
            </c:dLbl>
            <c:txPr>
              <a:bodyPr/>
              <a:lstStyle/>
              <a:p>
                <a:pPr>
                  <a:defRPr sz="2200" b="1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entury Gothic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</c:numRef>
          </c:val>
        </c:ser>
        <c:overlap val="100"/>
        <c:axId val="89251840"/>
        <c:axId val="89253376"/>
      </c:barChart>
      <c:catAx>
        <c:axId val="892518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0" i="0">
                <a:latin typeface="Century Gothic" pitchFamily="34" charset="0"/>
              </a:defRPr>
            </a:pPr>
            <a:endParaRPr lang="ru-RU"/>
          </a:p>
        </c:txPr>
        <c:crossAx val="89253376"/>
        <c:crosses val="autoZero"/>
        <c:auto val="1"/>
        <c:lblAlgn val="ctr"/>
        <c:lblOffset val="100"/>
      </c:catAx>
      <c:valAx>
        <c:axId val="89253376"/>
        <c:scaling>
          <c:orientation val="minMax"/>
        </c:scaling>
        <c:delete val="1"/>
        <c:axPos val="l"/>
        <c:numFmt formatCode="General" sourceLinked="1"/>
        <c:tickLblPos val="none"/>
        <c:crossAx val="8925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911396888537754"/>
          <c:y val="0.27952103444696524"/>
          <c:w val="0.31381085621083477"/>
          <c:h val="0.19583996915639801"/>
        </c:manualLayout>
      </c:layout>
      <c:txPr>
        <a:bodyPr/>
        <a:lstStyle/>
        <a:p>
          <a:pPr>
            <a:defRPr sz="1200" i="0">
              <a:latin typeface="Century Gothic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0.26007</cdr:x>
      <cdr:y>0.03969</cdr:y>
    </cdr:from>
    <cdr:to>
      <cdr:x>0.47148</cdr:x>
      <cdr:y>0.08936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94520" y="172615"/>
          <a:ext cx="1296144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84A3-F14E-4D18-994E-D71BB6B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Biryukova.LA</dc:creator>
  <cp:lastModifiedBy>Biryukova.LA</cp:lastModifiedBy>
  <cp:revision>5</cp:revision>
  <cp:lastPrinted>2017-04-18T11:41:00Z</cp:lastPrinted>
  <dcterms:created xsi:type="dcterms:W3CDTF">2017-05-05T06:17:00Z</dcterms:created>
  <dcterms:modified xsi:type="dcterms:W3CDTF">2017-05-10T06:48:00Z</dcterms:modified>
</cp:coreProperties>
</file>