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59" w:rsidRDefault="00900A59"/>
    <w:p w:rsidR="00F15A3A" w:rsidRDefault="00F15A3A"/>
    <w:p w:rsidR="00F15A3A" w:rsidRDefault="00F15A3A"/>
    <w:p w:rsidR="00B4104A" w:rsidRDefault="00B4104A"/>
    <w:p w:rsidR="00F15A3A" w:rsidRDefault="00F15A3A"/>
    <w:p w:rsidR="007E0E78" w:rsidRDefault="007E0E78"/>
    <w:p w:rsidR="00A82579" w:rsidRDefault="00A82579"/>
    <w:p w:rsidR="00F754AE" w:rsidRDefault="00F754AE"/>
    <w:p w:rsidR="00842CA7" w:rsidRPr="00842CA7" w:rsidRDefault="00842CA7" w:rsidP="00842CA7">
      <w:pPr>
        <w:ind w:left="5387"/>
        <w:rPr>
          <w:sz w:val="28"/>
          <w:szCs w:val="28"/>
        </w:rPr>
      </w:pPr>
      <w:r w:rsidRPr="00842CA7">
        <w:rPr>
          <w:sz w:val="28"/>
          <w:szCs w:val="28"/>
        </w:rPr>
        <w:t xml:space="preserve">Правительство </w:t>
      </w:r>
    </w:p>
    <w:p w:rsidR="00842CA7" w:rsidRPr="00842CA7" w:rsidRDefault="00842CA7" w:rsidP="00842CA7">
      <w:pPr>
        <w:ind w:left="5387"/>
        <w:rPr>
          <w:sz w:val="28"/>
          <w:szCs w:val="28"/>
        </w:rPr>
      </w:pPr>
      <w:r w:rsidRPr="00842CA7">
        <w:rPr>
          <w:sz w:val="28"/>
          <w:szCs w:val="28"/>
        </w:rPr>
        <w:t>Республики Башкортостан</w:t>
      </w:r>
    </w:p>
    <w:p w:rsidR="00842CA7" w:rsidRPr="00842CA7" w:rsidRDefault="00842CA7" w:rsidP="00842CA7">
      <w:pPr>
        <w:ind w:left="5387"/>
        <w:rPr>
          <w:sz w:val="28"/>
          <w:szCs w:val="28"/>
        </w:rPr>
      </w:pPr>
    </w:p>
    <w:p w:rsidR="00842CA7" w:rsidRPr="00842CA7" w:rsidRDefault="00842CA7" w:rsidP="00842CA7">
      <w:pPr>
        <w:ind w:left="5387"/>
        <w:rPr>
          <w:sz w:val="28"/>
          <w:szCs w:val="28"/>
        </w:rPr>
      </w:pPr>
      <w:r w:rsidRPr="00842CA7">
        <w:rPr>
          <w:sz w:val="28"/>
          <w:szCs w:val="28"/>
        </w:rPr>
        <w:t>Министерство земельных и имущественных отношений</w:t>
      </w:r>
    </w:p>
    <w:p w:rsidR="00870299" w:rsidRDefault="00842CA7" w:rsidP="00842CA7">
      <w:pPr>
        <w:ind w:left="5387"/>
        <w:rPr>
          <w:sz w:val="28"/>
          <w:szCs w:val="28"/>
        </w:rPr>
      </w:pPr>
      <w:r w:rsidRPr="00842CA7">
        <w:rPr>
          <w:sz w:val="28"/>
          <w:szCs w:val="28"/>
        </w:rPr>
        <w:t>Республики Башкортостан</w:t>
      </w:r>
    </w:p>
    <w:p w:rsidR="00CF16BC" w:rsidRDefault="00CF16BC" w:rsidP="00CF16BC">
      <w:pPr>
        <w:ind w:left="5670"/>
        <w:rPr>
          <w:sz w:val="28"/>
          <w:szCs w:val="28"/>
        </w:rPr>
      </w:pPr>
    </w:p>
    <w:p w:rsidR="000B01FE" w:rsidRDefault="00984DB4" w:rsidP="00984DB4">
      <w:pPr>
        <w:jc w:val="center"/>
        <w:rPr>
          <w:sz w:val="28"/>
          <w:szCs w:val="28"/>
        </w:rPr>
      </w:pPr>
      <w:r w:rsidRPr="00984DB4">
        <w:rPr>
          <w:sz w:val="28"/>
          <w:szCs w:val="28"/>
        </w:rPr>
        <w:t>Заключение</w:t>
      </w:r>
      <w:r w:rsidR="000B01FE">
        <w:rPr>
          <w:sz w:val="28"/>
          <w:szCs w:val="28"/>
        </w:rPr>
        <w:t xml:space="preserve"> </w:t>
      </w:r>
    </w:p>
    <w:p w:rsidR="009324F6" w:rsidRDefault="000B01FE" w:rsidP="00984DB4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оценке регулирующего воздействия</w:t>
      </w:r>
    </w:p>
    <w:p w:rsidR="00984DB4" w:rsidRPr="00984DB4" w:rsidRDefault="00984DB4" w:rsidP="00984DB4">
      <w:pPr>
        <w:jc w:val="center"/>
        <w:rPr>
          <w:sz w:val="28"/>
          <w:szCs w:val="28"/>
        </w:rPr>
      </w:pPr>
    </w:p>
    <w:p w:rsidR="007C0C39" w:rsidRDefault="007C0C39" w:rsidP="00890B0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CB4742">
        <w:rPr>
          <w:rFonts w:ascii="Times New Roman" w:hAnsi="Times New Roman" w:cs="Times New Roman"/>
          <w:b w:val="0"/>
          <w:bCs w:val="0"/>
          <w:sz w:val="28"/>
          <w:szCs w:val="28"/>
        </w:rPr>
        <w:t>Министерство экономического развития Республики Башкортостан</w:t>
      </w:r>
      <w:r w:rsidR="008B25EF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CB47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67A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рассмотрев в соответствии с Порядком проведения оценки регулирующего воздействия проектов нормативных правовых актов Республики Башкортостан, утвержденным постановлением Правительства Республики Башкортостан от 13 апреля 2015 года № 126, </w:t>
      </w:r>
      <w:r w:rsidRPr="00CB47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 </w:t>
      </w:r>
      <w:r w:rsidR="00191704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постановления Правительства Республики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EE7AB8" w:rsidRPr="00EE7A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</w:t>
      </w:r>
      <w:r w:rsidR="000276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</w:t>
      </w:r>
      <w:r w:rsidR="00EE7AB8" w:rsidRPr="00EE7AB8">
        <w:rPr>
          <w:rFonts w:ascii="Times New Roman" w:hAnsi="Times New Roman" w:cs="Times New Roman"/>
          <w:b w:val="0"/>
          <w:bCs w:val="0"/>
          <w:sz w:val="28"/>
          <w:szCs w:val="28"/>
        </w:rPr>
        <w:t>и условий размещения объектов на землях или земельных участках, находящихся в государственной собственности Республики Башкортостан либо муниципальной собственности, а также на</w:t>
      </w:r>
      <w:proofErr w:type="gramEnd"/>
      <w:r w:rsidR="00EE7AB8" w:rsidRPr="00EE7A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EE7AB8" w:rsidRPr="00EE7AB8">
        <w:rPr>
          <w:rFonts w:ascii="Times New Roman" w:hAnsi="Times New Roman" w:cs="Times New Roman"/>
          <w:b w:val="0"/>
          <w:bCs w:val="0"/>
          <w:sz w:val="28"/>
          <w:szCs w:val="28"/>
        </w:rPr>
        <w:t>землях</w:t>
      </w:r>
      <w:proofErr w:type="gramEnd"/>
      <w:r w:rsidR="00EE7AB8" w:rsidRPr="00EE7A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или земельных участках, государственная собственность на которые не разграничена,</w:t>
      </w:r>
      <w:r w:rsidR="000276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</w:t>
      </w:r>
      <w:r w:rsidR="00EE7AB8" w:rsidRPr="00EE7A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без предоставления земельных участков и установления сервитутов </w:t>
      </w:r>
      <w:r w:rsidR="000276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</w:t>
      </w:r>
      <w:r w:rsidR="00EE7AB8" w:rsidRPr="00EE7AB8">
        <w:rPr>
          <w:rFonts w:ascii="Times New Roman" w:hAnsi="Times New Roman" w:cs="Times New Roman"/>
          <w:b w:val="0"/>
          <w:bCs w:val="0"/>
          <w:sz w:val="28"/>
          <w:szCs w:val="28"/>
        </w:rPr>
        <w:t>на территории Республики Башкортостан</w:t>
      </w:r>
      <w:r w:rsidR="00890B0D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842CA7" w:rsidRPr="00842C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90B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(далее – </w:t>
      </w:r>
      <w:r w:rsidR="00806057">
        <w:rPr>
          <w:rFonts w:ascii="Times New Roman" w:hAnsi="Times New Roman" w:cs="Times New Roman"/>
          <w:b w:val="0"/>
          <w:bCs w:val="0"/>
          <w:sz w:val="28"/>
          <w:szCs w:val="28"/>
        </w:rPr>
        <w:t>Проект</w:t>
      </w:r>
      <w:r w:rsidR="00A82579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0E1B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EE7AB8">
        <w:rPr>
          <w:rFonts w:ascii="Times New Roman" w:hAnsi="Times New Roman" w:cs="Times New Roman"/>
          <w:b w:val="0"/>
          <w:bCs w:val="0"/>
          <w:sz w:val="28"/>
          <w:szCs w:val="28"/>
        </w:rPr>
        <w:t>разработанный Министерством земельных и имущественных отношений Республики Башкортостан (далее – Разработчик)</w:t>
      </w:r>
      <w:r w:rsidR="00D37B34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EE7A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15A3A">
        <w:rPr>
          <w:rFonts w:ascii="Times New Roman" w:hAnsi="Times New Roman" w:cs="Times New Roman"/>
          <w:b w:val="0"/>
          <w:bCs w:val="0"/>
          <w:sz w:val="28"/>
          <w:szCs w:val="28"/>
        </w:rPr>
        <w:t>сообщает следующее.</w:t>
      </w:r>
    </w:p>
    <w:p w:rsidR="00444A36" w:rsidRDefault="00444A36" w:rsidP="00890B0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 разработан </w:t>
      </w:r>
      <w:r w:rsidRPr="00444A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частью 3 статьи 39.36 Земельного кодекса Российской Федерации, Законом Республики Башкортостан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 w:rsidRPr="00444A36">
        <w:rPr>
          <w:rFonts w:ascii="Times New Roman" w:hAnsi="Times New Roman" w:cs="Times New Roman"/>
          <w:b w:val="0"/>
          <w:bCs w:val="0"/>
          <w:sz w:val="28"/>
          <w:szCs w:val="28"/>
        </w:rPr>
        <w:t>«О регулировании земельных отношений в Республике Башкортостан»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276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 предусматривает утверждение П</w:t>
      </w:r>
      <w:r w:rsidRPr="00444A36">
        <w:rPr>
          <w:rFonts w:ascii="Times New Roman" w:hAnsi="Times New Roman" w:cs="Times New Roman"/>
          <w:b w:val="0"/>
          <w:bCs w:val="0"/>
          <w:sz w:val="28"/>
          <w:szCs w:val="28"/>
        </w:rPr>
        <w:t>орядк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444A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услови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Pr="00444A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размещения объектов </w:t>
      </w:r>
      <w:r w:rsidR="000276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  <w:r w:rsidRPr="00444A36">
        <w:rPr>
          <w:rFonts w:ascii="Times New Roman" w:hAnsi="Times New Roman" w:cs="Times New Roman"/>
          <w:b w:val="0"/>
          <w:bCs w:val="0"/>
          <w:sz w:val="28"/>
          <w:szCs w:val="28"/>
        </w:rPr>
        <w:t>на землях или земельных участках, находящихся в государственной собственности Республики Башкортостан либо муниципальной собственности, а также на землях или земельных участках, государственная собственность на которые не разграничена, без предоставления</w:t>
      </w:r>
      <w:proofErr w:type="gramEnd"/>
      <w:r w:rsidRPr="00444A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земельных участков и установления сервитутов на территории Республики Башкортостан (далее – Порядок)</w:t>
      </w:r>
      <w:r w:rsidR="008204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FA7760" w:rsidRDefault="00444A36" w:rsidP="00C201E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Указанный Порядок </w:t>
      </w:r>
      <w:r w:rsidR="00C201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устанавливает </w:t>
      </w:r>
      <w:r w:rsidR="00FA7760" w:rsidRPr="00FA7760">
        <w:rPr>
          <w:rFonts w:ascii="Times New Roman" w:hAnsi="Times New Roman" w:cs="Times New Roman"/>
          <w:b w:val="0"/>
          <w:bCs w:val="0"/>
          <w:sz w:val="28"/>
          <w:szCs w:val="28"/>
        </w:rPr>
        <w:t>механизм получения разрешения для размещения объектов</w:t>
      </w:r>
      <w:r w:rsidR="0082045C" w:rsidRPr="008204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виды которых установлены перечнем, утвержденным постановлением Правительства Российской Федерации </w:t>
      </w:r>
      <w:r w:rsidR="008204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</w:t>
      </w:r>
      <w:r w:rsidR="0082045C" w:rsidRPr="008204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3 декабря 2014 года №1300 «Об утверждении перечня видов объектов, размещение которых </w:t>
      </w:r>
      <w:proofErr w:type="gramStart"/>
      <w:r w:rsidR="0082045C" w:rsidRPr="0082045C">
        <w:rPr>
          <w:rFonts w:ascii="Times New Roman" w:hAnsi="Times New Roman" w:cs="Times New Roman"/>
          <w:b w:val="0"/>
          <w:bCs w:val="0"/>
          <w:sz w:val="28"/>
          <w:szCs w:val="28"/>
        </w:rPr>
        <w:t>может</w:t>
      </w:r>
      <w:proofErr w:type="gramEnd"/>
      <w:r w:rsidR="0082045C" w:rsidRPr="008204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осуществляется</w:t>
      </w:r>
      <w:r w:rsidR="008204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2045C" w:rsidRPr="0082045C">
        <w:rPr>
          <w:rFonts w:ascii="Times New Roman" w:hAnsi="Times New Roman" w:cs="Times New Roman"/>
          <w:b w:val="0"/>
          <w:bCs w:val="0"/>
          <w:sz w:val="28"/>
          <w:szCs w:val="28"/>
        </w:rPr>
        <w:t>на землях или земельных участках, находящихся в государственной</w:t>
      </w:r>
      <w:r w:rsidR="008204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2045C" w:rsidRPr="0082045C">
        <w:rPr>
          <w:rFonts w:ascii="Times New Roman" w:hAnsi="Times New Roman" w:cs="Times New Roman"/>
          <w:b w:val="0"/>
          <w:bCs w:val="0"/>
          <w:sz w:val="28"/>
          <w:szCs w:val="28"/>
        </w:rPr>
        <w:t>или муниципальной собственности, без предоставления земельных участков</w:t>
      </w:r>
      <w:r w:rsidR="008204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2045C" w:rsidRPr="0082045C">
        <w:rPr>
          <w:rFonts w:ascii="Times New Roman" w:hAnsi="Times New Roman" w:cs="Times New Roman"/>
          <w:b w:val="0"/>
          <w:bCs w:val="0"/>
          <w:sz w:val="28"/>
          <w:szCs w:val="28"/>
        </w:rPr>
        <w:t>и установления сервитутов»</w:t>
      </w:r>
      <w:r w:rsidR="00055A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2045C" w:rsidRPr="0082045C">
        <w:rPr>
          <w:rFonts w:ascii="Times New Roman" w:hAnsi="Times New Roman" w:cs="Times New Roman"/>
          <w:b w:val="0"/>
          <w:bCs w:val="0"/>
          <w:sz w:val="28"/>
          <w:szCs w:val="28"/>
        </w:rPr>
        <w:t>на территории Республики Башкортостан</w:t>
      </w:r>
      <w:r w:rsidR="008204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</w:t>
      </w:r>
      <w:r w:rsidR="0082045C" w:rsidRPr="0082045C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(далее соответственно – </w:t>
      </w:r>
      <w:r w:rsidR="00055A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Перечень, </w:t>
      </w:r>
      <w:r w:rsidR="0082045C" w:rsidRPr="008204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земельные участки, </w:t>
      </w:r>
      <w:proofErr w:type="gramStart"/>
      <w:r w:rsidR="0082045C" w:rsidRPr="0082045C">
        <w:rPr>
          <w:rFonts w:ascii="Times New Roman" w:hAnsi="Times New Roman" w:cs="Times New Roman"/>
          <w:b w:val="0"/>
          <w:bCs w:val="0"/>
          <w:sz w:val="28"/>
          <w:szCs w:val="28"/>
        </w:rPr>
        <w:t>объекты)</w:t>
      </w:r>
      <w:r w:rsidR="00FA7760" w:rsidRPr="00FA7760">
        <w:rPr>
          <w:rFonts w:ascii="Times New Roman" w:hAnsi="Times New Roman" w:cs="Times New Roman"/>
          <w:b w:val="0"/>
          <w:bCs w:val="0"/>
          <w:sz w:val="28"/>
          <w:szCs w:val="28"/>
        </w:rPr>
        <w:t>, включающий требования к заявлению заинтересованного лица на получение разрешения</w:t>
      </w:r>
      <w:r w:rsidR="00F537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размещение объектов (далее – разрешение)</w:t>
      </w:r>
      <w:r w:rsidR="00FA7760" w:rsidRPr="00FA77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сроки рассмотрения заявления уполномоченным органом, </w:t>
      </w:r>
      <w:r w:rsidR="00F537CF">
        <w:rPr>
          <w:rFonts w:ascii="Times New Roman" w:hAnsi="Times New Roman" w:cs="Times New Roman"/>
          <w:b w:val="0"/>
          <w:bCs w:val="0"/>
          <w:sz w:val="28"/>
          <w:szCs w:val="28"/>
        </w:rPr>
        <w:t>основания</w:t>
      </w:r>
      <w:r w:rsidR="00FA7760" w:rsidRPr="00FA77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для отказа в выдач</w:t>
      </w:r>
      <w:r w:rsidR="00FA7760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FA7760" w:rsidRPr="00FA77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разрешения, </w:t>
      </w:r>
      <w:r w:rsidR="00F537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формы </w:t>
      </w:r>
      <w:r w:rsidR="00F537CF" w:rsidRPr="00F537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решения уполномоченного органа </w:t>
      </w:r>
      <w:r w:rsidR="00F537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разрешении размещения объекта на земельном участке </w:t>
      </w:r>
      <w:r w:rsidR="00F537CF" w:rsidRPr="00F537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(далее – решение об использовании) </w:t>
      </w:r>
      <w:r w:rsidR="00876D8C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F537CF" w:rsidRPr="00F537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договора </w:t>
      </w:r>
      <w:r w:rsidR="00055A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537CF" w:rsidRPr="00F537CF">
        <w:rPr>
          <w:rFonts w:ascii="Times New Roman" w:hAnsi="Times New Roman" w:cs="Times New Roman"/>
          <w:b w:val="0"/>
          <w:bCs w:val="0"/>
          <w:sz w:val="28"/>
          <w:szCs w:val="28"/>
        </w:rPr>
        <w:t>о размещении объекта</w:t>
      </w:r>
      <w:r w:rsidR="00F537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земельном участке</w:t>
      </w:r>
      <w:r w:rsidR="00F537CF" w:rsidRPr="00F537CF">
        <w:rPr>
          <w:rFonts w:ascii="Times New Roman" w:hAnsi="Times New Roman" w:cs="Times New Roman"/>
          <w:b w:val="0"/>
          <w:bCs w:val="0"/>
          <w:sz w:val="28"/>
          <w:szCs w:val="28"/>
        </w:rPr>
        <w:t>, заключенного</w:t>
      </w:r>
      <w:r w:rsidR="00055A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537CF" w:rsidRPr="00F537CF">
        <w:rPr>
          <w:rFonts w:ascii="Times New Roman" w:hAnsi="Times New Roman" w:cs="Times New Roman"/>
          <w:b w:val="0"/>
          <w:bCs w:val="0"/>
          <w:sz w:val="28"/>
          <w:szCs w:val="28"/>
        </w:rPr>
        <w:t>с уполномоченным органом</w:t>
      </w:r>
      <w:r w:rsidR="00F537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договор о размещении), сроки действия раз</w:t>
      </w:r>
      <w:r w:rsidR="00876D8C">
        <w:rPr>
          <w:rFonts w:ascii="Times New Roman" w:hAnsi="Times New Roman" w:cs="Times New Roman"/>
          <w:b w:val="0"/>
          <w:bCs w:val="0"/>
          <w:sz w:val="28"/>
          <w:szCs w:val="28"/>
        </w:rPr>
        <w:t>ре</w:t>
      </w:r>
      <w:r w:rsidR="00F537CF">
        <w:rPr>
          <w:rFonts w:ascii="Times New Roman" w:hAnsi="Times New Roman" w:cs="Times New Roman"/>
          <w:b w:val="0"/>
          <w:bCs w:val="0"/>
          <w:sz w:val="28"/>
          <w:szCs w:val="28"/>
        </w:rPr>
        <w:t>шений</w:t>
      </w:r>
      <w:proofErr w:type="gramEnd"/>
      <w:r w:rsidR="00876D8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F537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D8C">
        <w:rPr>
          <w:rFonts w:ascii="Times New Roman" w:hAnsi="Times New Roman" w:cs="Times New Roman"/>
          <w:b w:val="0"/>
          <w:bCs w:val="0"/>
          <w:sz w:val="28"/>
          <w:szCs w:val="28"/>
        </w:rPr>
        <w:t>а также условия и порядок прекращения действия разрешений</w:t>
      </w:r>
      <w:r w:rsidR="00FA7760" w:rsidRPr="00FA776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201EB" w:rsidRDefault="00F537CF" w:rsidP="00C201E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C201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целях соблюдения принципа платности, предусмотренного </w:t>
      </w:r>
      <w:r w:rsidR="00FA7760">
        <w:rPr>
          <w:rFonts w:ascii="Times New Roman" w:hAnsi="Times New Roman" w:cs="Times New Roman"/>
          <w:b w:val="0"/>
          <w:bCs w:val="0"/>
          <w:sz w:val="28"/>
          <w:szCs w:val="28"/>
        </w:rPr>
        <w:t>подпунктом 7 пункт</w:t>
      </w:r>
      <w:r w:rsidR="0082045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FA77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 статьи 1 Земельного кодекса Российской Федерации, Порядком устанавливается перечень объектов, размещаемых на территории Республики Башкортостан за плату,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порядок расчета указанной платы, сроки ее внесения.</w:t>
      </w:r>
      <w:r w:rsidR="00042145" w:rsidRPr="000421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C201EB" w:rsidRDefault="00F537CF" w:rsidP="00C201E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Кроме того, Порядком предусматриваются условия и механизм проведения аукциона на право </w:t>
      </w:r>
      <w:r w:rsidR="00876D8C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договора о размещении.</w:t>
      </w:r>
    </w:p>
    <w:p w:rsidR="00876D8C" w:rsidRDefault="00876D8C" w:rsidP="00C201E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проведения публичных обсуждений </w:t>
      </w:r>
      <w:r w:rsidRPr="00876D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срок </w:t>
      </w:r>
      <w:r w:rsidR="000276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</w:t>
      </w:r>
      <w:r w:rsidRPr="00876D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Pr="00876D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марта</w:t>
      </w:r>
      <w:r w:rsidR="000276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76D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Pr="00876D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апреля</w:t>
      </w:r>
      <w:r w:rsidRPr="00876D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876D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Проект был размещен на </w:t>
      </w:r>
      <w:r w:rsidRPr="00876D8C">
        <w:rPr>
          <w:rFonts w:ascii="Times New Roman" w:hAnsi="Times New Roman" w:cs="Times New Roman"/>
          <w:b w:val="0"/>
          <w:bCs w:val="0"/>
          <w:sz w:val="28"/>
          <w:szCs w:val="28"/>
        </w:rPr>
        <w:t>Региональном портале для размещения информации о разработке органами государственной власти Республики Башкортостан нормативных правовых актов и результатах их общественного обсуждения (regulation.bashkortostan.ru).</w:t>
      </w:r>
    </w:p>
    <w:p w:rsidR="00F537CF" w:rsidRDefault="00876D8C" w:rsidP="00C201E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Кроме того, информация о проведении публичных обсуждений Проекта направлена экспертам Консультативного совета по оценке регулирующего воздействия </w:t>
      </w:r>
      <w:r w:rsidR="00EB4E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Республик</w:t>
      </w:r>
      <w:r w:rsidR="00EB4E53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Башкортостан</w:t>
      </w:r>
      <w:r w:rsidR="00EB4E5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EB4E53" w:rsidRDefault="00EB4E53" w:rsidP="00C201E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8204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ходе публичных обсуждений Проекта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представителей предпринимательского сообщества Республики Башкортостан поступило предложение об уточнении оснований для прекращения действия разрешения. От </w:t>
      </w:r>
      <w:r w:rsidR="00055A92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рокуратуры Республики Башкортостан поступило предложение об уточнении перечня объектов, размещение которых осуществляется за плату. Указанные предложения Разработчиком учтены.</w:t>
      </w:r>
    </w:p>
    <w:p w:rsidR="00EB4E53" w:rsidRDefault="00EB4E53" w:rsidP="00C201E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Так, в соответствии с Порядком, взимание платы предусмотрено </w:t>
      </w:r>
      <w:r w:rsidR="000276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за размещение</w:t>
      </w:r>
      <w:r w:rsidR="00D746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объектов, предусмотренных подпунктами 22 – 25, 28 и 30 пункта 3 Порядка:</w:t>
      </w:r>
    </w:p>
    <w:p w:rsidR="00D74620" w:rsidRPr="00D74620" w:rsidRDefault="00D74620" w:rsidP="00D7462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 пунктов </w:t>
      </w:r>
      <w:r w:rsidRPr="00D746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приема вторичного сырья, для размещения которых </w:t>
      </w:r>
      <w:r w:rsidR="000276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</w:t>
      </w:r>
      <w:r w:rsidRPr="00D74620">
        <w:rPr>
          <w:rFonts w:ascii="Times New Roman" w:hAnsi="Times New Roman" w:cs="Times New Roman"/>
          <w:b w:val="0"/>
          <w:bCs w:val="0"/>
          <w:sz w:val="28"/>
          <w:szCs w:val="28"/>
        </w:rPr>
        <w:t>не</w:t>
      </w:r>
      <w:r w:rsidR="000276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74620">
        <w:rPr>
          <w:rFonts w:ascii="Times New Roman" w:hAnsi="Times New Roman" w:cs="Times New Roman"/>
          <w:b w:val="0"/>
          <w:bCs w:val="0"/>
          <w:sz w:val="28"/>
          <w:szCs w:val="28"/>
        </w:rPr>
        <w:t>требуется разрешения на строительство;</w:t>
      </w:r>
    </w:p>
    <w:p w:rsidR="00D74620" w:rsidRPr="00D74620" w:rsidRDefault="00D74620" w:rsidP="00D7462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 </w:t>
      </w:r>
      <w:r w:rsidRPr="00D74620">
        <w:rPr>
          <w:rFonts w:ascii="Times New Roman" w:hAnsi="Times New Roman" w:cs="Times New Roman"/>
          <w:b w:val="0"/>
          <w:bCs w:val="0"/>
          <w:sz w:val="28"/>
          <w:szCs w:val="28"/>
        </w:rPr>
        <w:t>передвижны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х</w:t>
      </w:r>
      <w:r w:rsidRPr="00D746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цирк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ов</w:t>
      </w:r>
      <w:r w:rsidRPr="00D74620">
        <w:rPr>
          <w:rFonts w:ascii="Times New Roman" w:hAnsi="Times New Roman" w:cs="Times New Roman"/>
          <w:b w:val="0"/>
          <w:bCs w:val="0"/>
          <w:sz w:val="28"/>
          <w:szCs w:val="28"/>
        </w:rPr>
        <w:t>, зоопарк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ов и </w:t>
      </w:r>
      <w:r w:rsidRPr="00D74620">
        <w:rPr>
          <w:rFonts w:ascii="Times New Roman" w:hAnsi="Times New Roman" w:cs="Times New Roman"/>
          <w:b w:val="0"/>
          <w:bCs w:val="0"/>
          <w:sz w:val="28"/>
          <w:szCs w:val="28"/>
        </w:rPr>
        <w:t>луна-парк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ов</w:t>
      </w:r>
      <w:r w:rsidRPr="00D74620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D74620" w:rsidRPr="00D74620" w:rsidRDefault="00D74620" w:rsidP="00D7462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 </w:t>
      </w:r>
      <w:r w:rsidRPr="00D74620">
        <w:rPr>
          <w:rFonts w:ascii="Times New Roman" w:hAnsi="Times New Roman" w:cs="Times New Roman"/>
          <w:b w:val="0"/>
          <w:bCs w:val="0"/>
          <w:sz w:val="28"/>
          <w:szCs w:val="28"/>
        </w:rPr>
        <w:t>сезонны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х</w:t>
      </w:r>
      <w:r w:rsidRPr="00D746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аттракцион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ов</w:t>
      </w:r>
      <w:r w:rsidRPr="00D74620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D74620" w:rsidRPr="009436D1" w:rsidRDefault="00D74620" w:rsidP="00D7462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 </w:t>
      </w:r>
      <w:r w:rsidRPr="00D74620">
        <w:rPr>
          <w:rFonts w:ascii="Times New Roman" w:hAnsi="Times New Roman" w:cs="Times New Roman"/>
          <w:b w:val="0"/>
          <w:bCs w:val="0"/>
          <w:sz w:val="28"/>
          <w:szCs w:val="28"/>
        </w:rPr>
        <w:t>пункт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ов</w:t>
      </w:r>
      <w:r w:rsidRPr="00D746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проката велосипедов, роликов, самокатов и другого </w:t>
      </w:r>
      <w:r w:rsidRPr="009436D1">
        <w:rPr>
          <w:rFonts w:ascii="Times New Roman" w:hAnsi="Times New Roman" w:cs="Times New Roman"/>
          <w:b w:val="0"/>
          <w:bCs w:val="0"/>
          <w:sz w:val="28"/>
          <w:szCs w:val="28"/>
        </w:rPr>
        <w:t>спортивного инвентаря, для размещения которых не требуется разрешения</w:t>
      </w:r>
      <w:r w:rsidR="000276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9436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строительство, а также </w:t>
      </w:r>
      <w:proofErr w:type="spellStart"/>
      <w:r w:rsidRPr="009436D1">
        <w:rPr>
          <w:rFonts w:ascii="Times New Roman" w:hAnsi="Times New Roman" w:cs="Times New Roman"/>
          <w:b w:val="0"/>
          <w:bCs w:val="0"/>
          <w:sz w:val="28"/>
          <w:szCs w:val="28"/>
        </w:rPr>
        <w:t>велопарковок</w:t>
      </w:r>
      <w:proofErr w:type="spellEnd"/>
      <w:r w:rsidRPr="009436D1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D74620" w:rsidRPr="009436D1" w:rsidRDefault="00D74620" w:rsidP="00D7462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436D1">
        <w:rPr>
          <w:rFonts w:ascii="Times New Roman" w:hAnsi="Times New Roman" w:cs="Times New Roman"/>
          <w:b w:val="0"/>
          <w:bCs w:val="0"/>
          <w:sz w:val="28"/>
          <w:szCs w:val="28"/>
        </w:rPr>
        <w:t>- платежных терминалов для оплаты услуг и штрафов;</w:t>
      </w:r>
    </w:p>
    <w:p w:rsidR="00EB4E53" w:rsidRPr="009436D1" w:rsidRDefault="00D74620" w:rsidP="00D7462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436D1">
        <w:rPr>
          <w:rFonts w:ascii="Times New Roman" w:hAnsi="Times New Roman" w:cs="Times New Roman"/>
          <w:b w:val="0"/>
          <w:bCs w:val="0"/>
          <w:sz w:val="28"/>
          <w:szCs w:val="28"/>
        </w:rPr>
        <w:t>- зарядных станций (терминалов) для электротранспорта.</w:t>
      </w:r>
    </w:p>
    <w:p w:rsidR="00D74620" w:rsidRPr="009436D1" w:rsidRDefault="00D74620" w:rsidP="00D74620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9436D1">
        <w:rPr>
          <w:bCs/>
          <w:sz w:val="28"/>
          <w:szCs w:val="28"/>
        </w:rPr>
        <w:t xml:space="preserve">Изучение опыта субъектов Российской Федерации (далее – Субъекты) в сфере </w:t>
      </w:r>
      <w:r w:rsidRPr="009436D1">
        <w:rPr>
          <w:sz w:val="28"/>
          <w:szCs w:val="28"/>
        </w:rPr>
        <w:t xml:space="preserve">регулирования отношений </w:t>
      </w:r>
      <w:r w:rsidR="0082045C">
        <w:rPr>
          <w:sz w:val="28"/>
          <w:szCs w:val="28"/>
        </w:rPr>
        <w:t xml:space="preserve">по размещению объектов, виды которых установлены </w:t>
      </w:r>
      <w:r w:rsidR="005C730E">
        <w:rPr>
          <w:sz w:val="28"/>
          <w:szCs w:val="28"/>
        </w:rPr>
        <w:t>Перечнем</w:t>
      </w:r>
      <w:r w:rsidR="00B4104A">
        <w:rPr>
          <w:sz w:val="28"/>
          <w:szCs w:val="28"/>
        </w:rPr>
        <w:t>,</w:t>
      </w:r>
      <w:r w:rsidRPr="009436D1">
        <w:rPr>
          <w:bCs/>
          <w:sz w:val="28"/>
          <w:szCs w:val="28"/>
        </w:rPr>
        <w:t xml:space="preserve"> показало, что </w:t>
      </w:r>
      <w:r w:rsidRPr="009436D1">
        <w:rPr>
          <w:sz w:val="28"/>
          <w:szCs w:val="28"/>
        </w:rPr>
        <w:t xml:space="preserve">во всех Субъектах действует аналогичное правовое регулирование, однако не во всех из них </w:t>
      </w:r>
      <w:r w:rsidRPr="009436D1">
        <w:rPr>
          <w:sz w:val="28"/>
          <w:szCs w:val="28"/>
        </w:rPr>
        <w:lastRenderedPageBreak/>
        <w:t>предоставление земель и земельных участков осуществляется на платной основе, также наблюдается существенная разница в сроках рассмотрения заявлений: от 7 календарных</w:t>
      </w:r>
      <w:r w:rsidR="00B4104A">
        <w:rPr>
          <w:sz w:val="28"/>
          <w:szCs w:val="28"/>
        </w:rPr>
        <w:t xml:space="preserve"> </w:t>
      </w:r>
      <w:r w:rsidRPr="009436D1">
        <w:rPr>
          <w:sz w:val="28"/>
          <w:szCs w:val="28"/>
        </w:rPr>
        <w:t>до 30 рабочих дней.</w:t>
      </w:r>
      <w:proofErr w:type="gramEnd"/>
      <w:r w:rsidRPr="009436D1">
        <w:rPr>
          <w:sz w:val="28"/>
          <w:szCs w:val="28"/>
        </w:rPr>
        <w:t xml:space="preserve"> Кроме того в большинстве </w:t>
      </w:r>
      <w:r w:rsidR="00B4104A">
        <w:rPr>
          <w:sz w:val="28"/>
          <w:szCs w:val="28"/>
        </w:rPr>
        <w:t>С</w:t>
      </w:r>
      <w:r w:rsidRPr="009436D1">
        <w:rPr>
          <w:sz w:val="28"/>
          <w:szCs w:val="28"/>
        </w:rPr>
        <w:t>убъект</w:t>
      </w:r>
      <w:r w:rsidR="00B4104A">
        <w:rPr>
          <w:sz w:val="28"/>
          <w:szCs w:val="28"/>
        </w:rPr>
        <w:t>ов</w:t>
      </w:r>
      <w:r w:rsidRPr="009436D1">
        <w:rPr>
          <w:sz w:val="28"/>
          <w:szCs w:val="28"/>
        </w:rPr>
        <w:t xml:space="preserve"> использование земель и земельных участков осуществляется </w:t>
      </w:r>
      <w:r w:rsidR="00B4104A">
        <w:rPr>
          <w:sz w:val="28"/>
          <w:szCs w:val="28"/>
        </w:rPr>
        <w:t xml:space="preserve">                   </w:t>
      </w:r>
      <w:r w:rsidRPr="009436D1">
        <w:rPr>
          <w:sz w:val="28"/>
          <w:szCs w:val="28"/>
        </w:rPr>
        <w:t>на основании разрешений или решений, выдаваемы</w:t>
      </w:r>
      <w:r w:rsidR="00B4104A">
        <w:rPr>
          <w:sz w:val="28"/>
          <w:szCs w:val="28"/>
        </w:rPr>
        <w:t>х</w:t>
      </w:r>
      <w:r w:rsidRPr="009436D1">
        <w:rPr>
          <w:sz w:val="28"/>
          <w:szCs w:val="28"/>
        </w:rPr>
        <w:t xml:space="preserve"> уполномоченными органами</w:t>
      </w:r>
      <w:r w:rsidR="00055A92">
        <w:rPr>
          <w:sz w:val="28"/>
          <w:szCs w:val="28"/>
        </w:rPr>
        <w:t>,</w:t>
      </w:r>
      <w:r w:rsidR="00B4104A">
        <w:rPr>
          <w:sz w:val="28"/>
          <w:szCs w:val="28"/>
        </w:rPr>
        <w:t xml:space="preserve"> </w:t>
      </w:r>
      <w:r w:rsidRPr="009436D1">
        <w:rPr>
          <w:sz w:val="28"/>
          <w:szCs w:val="28"/>
        </w:rPr>
        <w:t>без заключения договора на определенный срок с возможностью</w:t>
      </w:r>
      <w:r w:rsidR="00B4104A">
        <w:rPr>
          <w:sz w:val="28"/>
          <w:szCs w:val="28"/>
        </w:rPr>
        <w:t xml:space="preserve">                          </w:t>
      </w:r>
      <w:r w:rsidRPr="009436D1">
        <w:rPr>
          <w:sz w:val="28"/>
          <w:szCs w:val="28"/>
        </w:rPr>
        <w:t>их последующей пролонгации.</w:t>
      </w:r>
    </w:p>
    <w:p w:rsidR="00D74620" w:rsidRDefault="00D74620" w:rsidP="00D74620">
      <w:pPr>
        <w:pStyle w:val="Default"/>
        <w:ind w:firstLine="708"/>
        <w:jc w:val="both"/>
        <w:rPr>
          <w:sz w:val="28"/>
          <w:szCs w:val="28"/>
        </w:rPr>
      </w:pPr>
    </w:p>
    <w:p w:rsidR="00B4104A" w:rsidRPr="009436D1" w:rsidRDefault="00B4104A" w:rsidP="00D74620">
      <w:pPr>
        <w:pStyle w:val="Default"/>
        <w:ind w:firstLine="708"/>
        <w:jc w:val="both"/>
        <w:rPr>
          <w:sz w:val="28"/>
          <w:szCs w:val="28"/>
        </w:rPr>
      </w:pPr>
    </w:p>
    <w:tbl>
      <w:tblPr>
        <w:tblStyle w:val="ab"/>
        <w:tblW w:w="9737" w:type="dxa"/>
        <w:tblLook w:val="04A0" w:firstRow="1" w:lastRow="0" w:firstColumn="1" w:lastColumn="0" w:noHBand="0" w:noVBand="1"/>
      </w:tblPr>
      <w:tblGrid>
        <w:gridCol w:w="2077"/>
        <w:gridCol w:w="3715"/>
        <w:gridCol w:w="1774"/>
        <w:gridCol w:w="2171"/>
      </w:tblGrid>
      <w:tr w:rsidR="00B8117E" w:rsidTr="000E632A">
        <w:tc>
          <w:tcPr>
            <w:tcW w:w="2077" w:type="dxa"/>
          </w:tcPr>
          <w:p w:rsidR="00B8117E" w:rsidRDefault="00B8117E" w:rsidP="00D7462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</w:t>
            </w:r>
          </w:p>
        </w:tc>
        <w:tc>
          <w:tcPr>
            <w:tcW w:w="3715" w:type="dxa"/>
          </w:tcPr>
          <w:p w:rsidR="00B8117E" w:rsidRDefault="00B8117E" w:rsidP="00D7462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устанавливающий право пользования</w:t>
            </w:r>
          </w:p>
        </w:tc>
        <w:tc>
          <w:tcPr>
            <w:tcW w:w="1774" w:type="dxa"/>
          </w:tcPr>
          <w:p w:rsidR="00B8117E" w:rsidRDefault="00B8117E" w:rsidP="00D7462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Платная основа (да/нет)</w:t>
            </w:r>
          </w:p>
        </w:tc>
        <w:tc>
          <w:tcPr>
            <w:tcW w:w="2171" w:type="dxa"/>
          </w:tcPr>
          <w:p w:rsidR="00B8117E" w:rsidRDefault="00B8117E" w:rsidP="00D7462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рассмотрения</w:t>
            </w:r>
          </w:p>
        </w:tc>
      </w:tr>
      <w:tr w:rsidR="00B8117E" w:rsidTr="000E632A">
        <w:tc>
          <w:tcPr>
            <w:tcW w:w="2077" w:type="dxa"/>
          </w:tcPr>
          <w:p w:rsidR="00B8117E" w:rsidRDefault="00F64267" w:rsidP="00D7462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Нижегородская область</w:t>
            </w:r>
          </w:p>
        </w:tc>
        <w:tc>
          <w:tcPr>
            <w:tcW w:w="3715" w:type="dxa"/>
            <w:vAlign w:val="center"/>
          </w:tcPr>
          <w:p w:rsidR="00B8117E" w:rsidRDefault="00F64267" w:rsidP="000E632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</w:t>
            </w:r>
          </w:p>
        </w:tc>
        <w:tc>
          <w:tcPr>
            <w:tcW w:w="1774" w:type="dxa"/>
            <w:vAlign w:val="center"/>
          </w:tcPr>
          <w:p w:rsidR="00B8117E" w:rsidRDefault="00F64267" w:rsidP="000E632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171" w:type="dxa"/>
            <w:vAlign w:val="center"/>
          </w:tcPr>
          <w:p w:rsidR="00B8117E" w:rsidRDefault="00F64267" w:rsidP="000E632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к.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8117E" w:rsidTr="000E632A">
        <w:tc>
          <w:tcPr>
            <w:tcW w:w="2077" w:type="dxa"/>
          </w:tcPr>
          <w:p w:rsidR="00B8117E" w:rsidRDefault="00F64267" w:rsidP="00D7462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Тюменская область </w:t>
            </w:r>
          </w:p>
        </w:tc>
        <w:tc>
          <w:tcPr>
            <w:tcW w:w="3715" w:type="dxa"/>
            <w:vAlign w:val="center"/>
          </w:tcPr>
          <w:p w:rsidR="00B8117E" w:rsidRDefault="00F64267" w:rsidP="000E632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разрешение</w:t>
            </w:r>
          </w:p>
        </w:tc>
        <w:tc>
          <w:tcPr>
            <w:tcW w:w="1774" w:type="dxa"/>
            <w:vAlign w:val="center"/>
          </w:tcPr>
          <w:p w:rsidR="00B8117E" w:rsidRDefault="00055A92" w:rsidP="000E632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64267">
              <w:rPr>
                <w:sz w:val="28"/>
                <w:szCs w:val="28"/>
              </w:rPr>
              <w:t>а</w:t>
            </w:r>
          </w:p>
        </w:tc>
        <w:tc>
          <w:tcPr>
            <w:tcW w:w="2171" w:type="dxa"/>
            <w:vAlign w:val="center"/>
          </w:tcPr>
          <w:p w:rsidR="00B8117E" w:rsidRDefault="00F64267" w:rsidP="000E632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р.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8117E" w:rsidTr="000E632A">
        <w:tc>
          <w:tcPr>
            <w:tcW w:w="2077" w:type="dxa"/>
          </w:tcPr>
          <w:p w:rsidR="00B8117E" w:rsidRDefault="00F64267" w:rsidP="00D7462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Омская область</w:t>
            </w:r>
          </w:p>
        </w:tc>
        <w:tc>
          <w:tcPr>
            <w:tcW w:w="3715" w:type="dxa"/>
            <w:vAlign w:val="center"/>
          </w:tcPr>
          <w:p w:rsidR="00B8117E" w:rsidRDefault="00F64267" w:rsidP="000E632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разрешение</w:t>
            </w:r>
          </w:p>
        </w:tc>
        <w:tc>
          <w:tcPr>
            <w:tcW w:w="1774" w:type="dxa"/>
            <w:vAlign w:val="center"/>
          </w:tcPr>
          <w:p w:rsidR="00B8117E" w:rsidRDefault="00F64267" w:rsidP="000E632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171" w:type="dxa"/>
            <w:vAlign w:val="center"/>
          </w:tcPr>
          <w:p w:rsidR="00B8117E" w:rsidRDefault="00F64267" w:rsidP="000E632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к.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64267" w:rsidTr="000E632A">
        <w:tc>
          <w:tcPr>
            <w:tcW w:w="2077" w:type="dxa"/>
          </w:tcPr>
          <w:p w:rsidR="00F64267" w:rsidRDefault="00F64267" w:rsidP="00D7462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Воронежская область</w:t>
            </w:r>
          </w:p>
        </w:tc>
        <w:tc>
          <w:tcPr>
            <w:tcW w:w="3715" w:type="dxa"/>
            <w:vAlign w:val="center"/>
          </w:tcPr>
          <w:p w:rsidR="00F64267" w:rsidRDefault="00F64267" w:rsidP="000E632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разрешение</w:t>
            </w:r>
          </w:p>
        </w:tc>
        <w:tc>
          <w:tcPr>
            <w:tcW w:w="1774" w:type="dxa"/>
            <w:vAlign w:val="center"/>
          </w:tcPr>
          <w:p w:rsidR="00F64267" w:rsidRDefault="00F64267" w:rsidP="000E632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171" w:type="dxa"/>
            <w:vAlign w:val="center"/>
          </w:tcPr>
          <w:p w:rsidR="00F64267" w:rsidRDefault="00F64267" w:rsidP="000E632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к.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64267" w:rsidTr="000E632A">
        <w:tc>
          <w:tcPr>
            <w:tcW w:w="2077" w:type="dxa"/>
          </w:tcPr>
          <w:p w:rsidR="00F64267" w:rsidRDefault="00F64267" w:rsidP="00D7462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Тульская область</w:t>
            </w:r>
          </w:p>
        </w:tc>
        <w:tc>
          <w:tcPr>
            <w:tcW w:w="3715" w:type="dxa"/>
            <w:vAlign w:val="center"/>
          </w:tcPr>
          <w:p w:rsidR="00F64267" w:rsidRDefault="00F64267" w:rsidP="000E632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разрешение</w:t>
            </w:r>
          </w:p>
        </w:tc>
        <w:tc>
          <w:tcPr>
            <w:tcW w:w="1774" w:type="dxa"/>
            <w:vAlign w:val="center"/>
          </w:tcPr>
          <w:p w:rsidR="00F64267" w:rsidRDefault="00F64267" w:rsidP="000E632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171" w:type="dxa"/>
            <w:vAlign w:val="center"/>
          </w:tcPr>
          <w:p w:rsidR="00F64267" w:rsidRDefault="00F64267" w:rsidP="000E632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к.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64267" w:rsidTr="000E632A">
        <w:tc>
          <w:tcPr>
            <w:tcW w:w="2077" w:type="dxa"/>
          </w:tcPr>
          <w:p w:rsidR="00F64267" w:rsidRDefault="00F64267" w:rsidP="00D7462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Хабаровский край</w:t>
            </w:r>
          </w:p>
        </w:tc>
        <w:tc>
          <w:tcPr>
            <w:tcW w:w="3715" w:type="dxa"/>
            <w:vAlign w:val="center"/>
          </w:tcPr>
          <w:p w:rsidR="00F64267" w:rsidRDefault="00F64267" w:rsidP="000E632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разрешение</w:t>
            </w:r>
          </w:p>
        </w:tc>
        <w:tc>
          <w:tcPr>
            <w:tcW w:w="1774" w:type="dxa"/>
            <w:vAlign w:val="center"/>
          </w:tcPr>
          <w:p w:rsidR="00F64267" w:rsidRDefault="00F64267" w:rsidP="000E632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171" w:type="dxa"/>
            <w:vAlign w:val="center"/>
          </w:tcPr>
          <w:p w:rsidR="00F64267" w:rsidRDefault="00F64267" w:rsidP="000E632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к.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64267" w:rsidTr="00055A92">
        <w:tc>
          <w:tcPr>
            <w:tcW w:w="2077" w:type="dxa"/>
          </w:tcPr>
          <w:p w:rsidR="002A161F" w:rsidRDefault="00F64267" w:rsidP="00D7462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Пермский </w:t>
            </w:r>
          </w:p>
          <w:p w:rsidR="00F64267" w:rsidRDefault="00F64267" w:rsidP="00D7462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край</w:t>
            </w:r>
          </w:p>
        </w:tc>
        <w:tc>
          <w:tcPr>
            <w:tcW w:w="3715" w:type="dxa"/>
            <w:vAlign w:val="center"/>
          </w:tcPr>
          <w:p w:rsidR="00F64267" w:rsidRDefault="00F64267" w:rsidP="000E632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</w:tc>
        <w:tc>
          <w:tcPr>
            <w:tcW w:w="1774" w:type="dxa"/>
            <w:vAlign w:val="center"/>
          </w:tcPr>
          <w:p w:rsidR="00F64267" w:rsidRDefault="00F64267" w:rsidP="000E632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171" w:type="dxa"/>
            <w:vAlign w:val="center"/>
          </w:tcPr>
          <w:p w:rsidR="00055A92" w:rsidRDefault="00F64267" w:rsidP="002A161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к.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64267" w:rsidTr="000E632A">
        <w:tc>
          <w:tcPr>
            <w:tcW w:w="2077" w:type="dxa"/>
          </w:tcPr>
          <w:p w:rsidR="00F64267" w:rsidRDefault="00F64267" w:rsidP="00D7462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Ульяновская область</w:t>
            </w:r>
          </w:p>
        </w:tc>
        <w:tc>
          <w:tcPr>
            <w:tcW w:w="3715" w:type="dxa"/>
            <w:vAlign w:val="center"/>
          </w:tcPr>
          <w:p w:rsidR="00F64267" w:rsidRDefault="00F64267" w:rsidP="000E632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</w:tc>
        <w:tc>
          <w:tcPr>
            <w:tcW w:w="1774" w:type="dxa"/>
            <w:vAlign w:val="center"/>
          </w:tcPr>
          <w:p w:rsidR="00F64267" w:rsidRDefault="00F64267" w:rsidP="000E632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171" w:type="dxa"/>
            <w:vAlign w:val="center"/>
          </w:tcPr>
          <w:p w:rsidR="00F64267" w:rsidRDefault="00F64267" w:rsidP="000E632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к.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64267" w:rsidTr="000E632A">
        <w:tc>
          <w:tcPr>
            <w:tcW w:w="2077" w:type="dxa"/>
          </w:tcPr>
          <w:p w:rsidR="00F64267" w:rsidRDefault="000E632A" w:rsidP="00D7462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Татарстан</w:t>
            </w:r>
          </w:p>
        </w:tc>
        <w:tc>
          <w:tcPr>
            <w:tcW w:w="3715" w:type="dxa"/>
            <w:vAlign w:val="center"/>
          </w:tcPr>
          <w:p w:rsidR="00F64267" w:rsidRDefault="000E632A" w:rsidP="000E632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разрешение</w:t>
            </w:r>
          </w:p>
        </w:tc>
        <w:tc>
          <w:tcPr>
            <w:tcW w:w="1774" w:type="dxa"/>
            <w:vAlign w:val="center"/>
          </w:tcPr>
          <w:p w:rsidR="00F64267" w:rsidRDefault="000E632A" w:rsidP="000E632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171" w:type="dxa"/>
            <w:vAlign w:val="center"/>
          </w:tcPr>
          <w:p w:rsidR="00F64267" w:rsidRDefault="000E632A" w:rsidP="000E632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к.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E632A" w:rsidTr="000E632A">
        <w:tc>
          <w:tcPr>
            <w:tcW w:w="2077" w:type="dxa"/>
          </w:tcPr>
          <w:p w:rsidR="000E632A" w:rsidRDefault="000E632A" w:rsidP="00D7462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область</w:t>
            </w:r>
          </w:p>
        </w:tc>
        <w:tc>
          <w:tcPr>
            <w:tcW w:w="3715" w:type="dxa"/>
            <w:vAlign w:val="center"/>
          </w:tcPr>
          <w:p w:rsidR="000E632A" w:rsidRDefault="000E632A" w:rsidP="000E632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разрешение</w:t>
            </w:r>
          </w:p>
        </w:tc>
        <w:tc>
          <w:tcPr>
            <w:tcW w:w="1774" w:type="dxa"/>
            <w:vAlign w:val="center"/>
          </w:tcPr>
          <w:p w:rsidR="000E632A" w:rsidRDefault="000E632A" w:rsidP="000E632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171" w:type="dxa"/>
            <w:vAlign w:val="center"/>
          </w:tcPr>
          <w:p w:rsidR="000E632A" w:rsidRDefault="000E632A" w:rsidP="000E632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к.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E632A" w:rsidTr="000E632A">
        <w:tc>
          <w:tcPr>
            <w:tcW w:w="2077" w:type="dxa"/>
          </w:tcPr>
          <w:p w:rsidR="000E632A" w:rsidRDefault="000E632A" w:rsidP="00D7462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Ленинградская область</w:t>
            </w:r>
          </w:p>
        </w:tc>
        <w:tc>
          <w:tcPr>
            <w:tcW w:w="3715" w:type="dxa"/>
            <w:vAlign w:val="center"/>
          </w:tcPr>
          <w:p w:rsidR="000E632A" w:rsidRDefault="000E632A" w:rsidP="000E632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</w:tc>
        <w:tc>
          <w:tcPr>
            <w:tcW w:w="1774" w:type="dxa"/>
            <w:vAlign w:val="center"/>
          </w:tcPr>
          <w:p w:rsidR="000E632A" w:rsidRDefault="000E632A" w:rsidP="000E632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171" w:type="dxa"/>
            <w:vAlign w:val="center"/>
          </w:tcPr>
          <w:p w:rsidR="000E632A" w:rsidRDefault="000E632A" w:rsidP="000E632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к.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E632A" w:rsidTr="000E632A">
        <w:tc>
          <w:tcPr>
            <w:tcW w:w="2077" w:type="dxa"/>
          </w:tcPr>
          <w:p w:rsidR="000E632A" w:rsidRDefault="000E632A" w:rsidP="00D7462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Курганская область</w:t>
            </w:r>
          </w:p>
        </w:tc>
        <w:tc>
          <w:tcPr>
            <w:tcW w:w="3715" w:type="dxa"/>
            <w:vAlign w:val="center"/>
          </w:tcPr>
          <w:p w:rsidR="000E632A" w:rsidRDefault="000E632A" w:rsidP="000E632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</w:tc>
        <w:tc>
          <w:tcPr>
            <w:tcW w:w="1774" w:type="dxa"/>
            <w:vAlign w:val="center"/>
          </w:tcPr>
          <w:p w:rsidR="000E632A" w:rsidRDefault="000E632A" w:rsidP="000E632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171" w:type="dxa"/>
            <w:vAlign w:val="center"/>
          </w:tcPr>
          <w:p w:rsidR="000E632A" w:rsidRDefault="000E632A" w:rsidP="000E632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к.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E632A" w:rsidTr="000E632A">
        <w:tc>
          <w:tcPr>
            <w:tcW w:w="2077" w:type="dxa"/>
          </w:tcPr>
          <w:p w:rsidR="000E632A" w:rsidRDefault="000E632A" w:rsidP="00D7462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Хакасия</w:t>
            </w:r>
          </w:p>
        </w:tc>
        <w:tc>
          <w:tcPr>
            <w:tcW w:w="3715" w:type="dxa"/>
            <w:vAlign w:val="center"/>
          </w:tcPr>
          <w:p w:rsidR="000E632A" w:rsidRDefault="000E632A" w:rsidP="000E632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</w:t>
            </w:r>
          </w:p>
        </w:tc>
        <w:tc>
          <w:tcPr>
            <w:tcW w:w="1774" w:type="dxa"/>
            <w:vAlign w:val="center"/>
          </w:tcPr>
          <w:p w:rsidR="000E632A" w:rsidRDefault="000E632A" w:rsidP="000E632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171" w:type="dxa"/>
            <w:vAlign w:val="center"/>
          </w:tcPr>
          <w:p w:rsidR="000E632A" w:rsidRDefault="000E632A" w:rsidP="000E632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к.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E632A" w:rsidTr="000E632A">
        <w:tc>
          <w:tcPr>
            <w:tcW w:w="2077" w:type="dxa"/>
          </w:tcPr>
          <w:p w:rsidR="000E632A" w:rsidRDefault="000E632A" w:rsidP="00D7462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Калмыкия</w:t>
            </w:r>
          </w:p>
        </w:tc>
        <w:tc>
          <w:tcPr>
            <w:tcW w:w="3715" w:type="dxa"/>
            <w:vAlign w:val="center"/>
          </w:tcPr>
          <w:p w:rsidR="000E632A" w:rsidRDefault="000E632A" w:rsidP="000E632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</w:t>
            </w:r>
          </w:p>
        </w:tc>
        <w:tc>
          <w:tcPr>
            <w:tcW w:w="1774" w:type="dxa"/>
            <w:vAlign w:val="center"/>
          </w:tcPr>
          <w:p w:rsidR="000E632A" w:rsidRDefault="000E632A" w:rsidP="000E632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171" w:type="dxa"/>
            <w:vAlign w:val="center"/>
          </w:tcPr>
          <w:p w:rsidR="000E632A" w:rsidRDefault="000E632A" w:rsidP="000E632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к.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E632A" w:rsidTr="000E632A">
        <w:tc>
          <w:tcPr>
            <w:tcW w:w="2077" w:type="dxa"/>
          </w:tcPr>
          <w:p w:rsidR="000E632A" w:rsidRDefault="000E632A" w:rsidP="00D7462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Кабардино-Балкарская Республика</w:t>
            </w:r>
          </w:p>
        </w:tc>
        <w:tc>
          <w:tcPr>
            <w:tcW w:w="3715" w:type="dxa"/>
            <w:vAlign w:val="center"/>
          </w:tcPr>
          <w:p w:rsidR="000E632A" w:rsidRDefault="000E632A" w:rsidP="000E632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</w:t>
            </w:r>
          </w:p>
        </w:tc>
        <w:tc>
          <w:tcPr>
            <w:tcW w:w="1774" w:type="dxa"/>
            <w:vAlign w:val="center"/>
          </w:tcPr>
          <w:p w:rsidR="000E632A" w:rsidRDefault="000E632A" w:rsidP="000E632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171" w:type="dxa"/>
            <w:vAlign w:val="center"/>
          </w:tcPr>
          <w:p w:rsidR="000E632A" w:rsidRDefault="000E632A" w:rsidP="000E632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к.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B4104A" w:rsidRDefault="00B4104A" w:rsidP="00D74620">
      <w:pPr>
        <w:pStyle w:val="Default"/>
        <w:ind w:firstLine="708"/>
        <w:jc w:val="both"/>
        <w:rPr>
          <w:sz w:val="28"/>
          <w:szCs w:val="28"/>
        </w:rPr>
      </w:pPr>
    </w:p>
    <w:p w:rsidR="00B4104A" w:rsidRDefault="00B4104A" w:rsidP="00D74620">
      <w:pPr>
        <w:pStyle w:val="Default"/>
        <w:ind w:firstLine="708"/>
        <w:jc w:val="both"/>
        <w:rPr>
          <w:sz w:val="28"/>
          <w:szCs w:val="28"/>
        </w:rPr>
      </w:pPr>
    </w:p>
    <w:p w:rsidR="00B4104A" w:rsidRDefault="00B4104A" w:rsidP="00D74620">
      <w:pPr>
        <w:pStyle w:val="Default"/>
        <w:ind w:firstLine="708"/>
        <w:jc w:val="both"/>
        <w:rPr>
          <w:sz w:val="28"/>
          <w:szCs w:val="28"/>
        </w:rPr>
      </w:pPr>
    </w:p>
    <w:p w:rsidR="00027689" w:rsidRDefault="00010269" w:rsidP="0056769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ряде Субъектов применяется выборочный принцип взимания платы за размещение объектов на земельных участках (как правило</w:t>
      </w:r>
      <w:r w:rsidR="00B4104A">
        <w:rPr>
          <w:sz w:val="28"/>
          <w:szCs w:val="28"/>
        </w:rPr>
        <w:t>,</w:t>
      </w:r>
      <w:r>
        <w:rPr>
          <w:sz w:val="28"/>
          <w:szCs w:val="28"/>
        </w:rPr>
        <w:t xml:space="preserve"> плата взимается за размещение объектов, использование которых связано </w:t>
      </w:r>
      <w:r w:rsidR="0002768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с извлечением прибыли). </w:t>
      </w:r>
    </w:p>
    <w:p w:rsidR="00567695" w:rsidRDefault="00567695" w:rsidP="0056769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в действующих нормативных правовых актах Субъектов, регламентирующих процедуру выдачи разрешений </w:t>
      </w:r>
      <w:r w:rsidR="0002768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на размещение объектов, проведение аукционов не предусмотрено. Рассмотрение заявлений на размещение объектов рассматриваются в порядке их поступления.</w:t>
      </w:r>
    </w:p>
    <w:p w:rsidR="00567695" w:rsidRDefault="00567695" w:rsidP="00D7462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предусмотренный Проектом порядок правового регулирования в целом </w:t>
      </w:r>
      <w:proofErr w:type="gramStart"/>
      <w:r>
        <w:rPr>
          <w:sz w:val="28"/>
          <w:szCs w:val="28"/>
        </w:rPr>
        <w:t>соответствует требованиям законодательства Российской Федерации и согласуется</w:t>
      </w:r>
      <w:proofErr w:type="gramEnd"/>
      <w:r>
        <w:rPr>
          <w:sz w:val="28"/>
          <w:szCs w:val="28"/>
        </w:rPr>
        <w:t xml:space="preserve"> с положениями нормативных правовых актов Субъектов, регламентирующих процедуру размещения объектов</w:t>
      </w:r>
      <w:r w:rsidRPr="00567695">
        <w:rPr>
          <w:sz w:val="28"/>
          <w:szCs w:val="28"/>
        </w:rPr>
        <w:t xml:space="preserve"> земельных участках, находящихся в государственной</w:t>
      </w:r>
      <w:r w:rsidR="00B4104A">
        <w:rPr>
          <w:sz w:val="28"/>
          <w:szCs w:val="28"/>
        </w:rPr>
        <w:t xml:space="preserve"> </w:t>
      </w:r>
      <w:r w:rsidRPr="00567695">
        <w:rPr>
          <w:sz w:val="28"/>
          <w:szCs w:val="28"/>
        </w:rPr>
        <w:t>или муниципальной собственности, без предоставления земельных участков и установления сервитутов</w:t>
      </w:r>
      <w:r>
        <w:rPr>
          <w:sz w:val="28"/>
          <w:szCs w:val="28"/>
        </w:rPr>
        <w:t>.</w:t>
      </w:r>
    </w:p>
    <w:p w:rsidR="00567695" w:rsidRDefault="00567695" w:rsidP="00D7462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время, отдельные положения Порядка нуждаются в доработке.</w:t>
      </w:r>
    </w:p>
    <w:p w:rsidR="00055A92" w:rsidRDefault="00055A92" w:rsidP="00055A9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55A92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 xml:space="preserve">связи с тем, что утверждение </w:t>
      </w:r>
      <w:r w:rsidRPr="00055A92">
        <w:rPr>
          <w:rFonts w:eastAsiaTheme="minorHAnsi"/>
          <w:sz w:val="28"/>
          <w:szCs w:val="28"/>
          <w:lang w:eastAsia="en-US"/>
        </w:rPr>
        <w:t>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не входит в компетенцию Правительства Республики Башкортостан</w:t>
      </w:r>
      <w:r>
        <w:rPr>
          <w:rFonts w:eastAsiaTheme="minorHAnsi"/>
          <w:sz w:val="28"/>
          <w:szCs w:val="28"/>
          <w:lang w:eastAsia="en-US"/>
        </w:rPr>
        <w:t xml:space="preserve">, в </w:t>
      </w:r>
      <w:r w:rsidRPr="00055A92">
        <w:rPr>
          <w:rFonts w:eastAsiaTheme="minorHAnsi"/>
          <w:sz w:val="28"/>
          <w:szCs w:val="28"/>
          <w:lang w:eastAsia="en-US"/>
        </w:rPr>
        <w:t xml:space="preserve">целях устранения дублирования </w:t>
      </w:r>
      <w:r>
        <w:rPr>
          <w:rFonts w:eastAsiaTheme="minorHAnsi"/>
          <w:sz w:val="28"/>
          <w:szCs w:val="28"/>
          <w:lang w:eastAsia="en-US"/>
        </w:rPr>
        <w:t xml:space="preserve">в Порядке </w:t>
      </w:r>
      <w:r w:rsidRPr="00055A92">
        <w:rPr>
          <w:rFonts w:eastAsiaTheme="minorHAnsi"/>
          <w:sz w:val="28"/>
          <w:szCs w:val="28"/>
          <w:lang w:eastAsia="en-US"/>
        </w:rPr>
        <w:t xml:space="preserve">положений </w:t>
      </w:r>
      <w:r>
        <w:rPr>
          <w:rFonts w:eastAsiaTheme="minorHAnsi"/>
          <w:sz w:val="28"/>
          <w:szCs w:val="28"/>
          <w:lang w:eastAsia="en-US"/>
        </w:rPr>
        <w:t>Перечня</w:t>
      </w:r>
      <w:r w:rsidRPr="00055A92">
        <w:rPr>
          <w:rFonts w:eastAsiaTheme="minorHAnsi"/>
          <w:sz w:val="28"/>
          <w:szCs w:val="28"/>
          <w:lang w:eastAsia="en-US"/>
        </w:rPr>
        <w:t>, пункт 3 проекта Порядка предлагаем исключить.</w:t>
      </w:r>
      <w:proofErr w:type="gramEnd"/>
    </w:p>
    <w:p w:rsidR="00833AF5" w:rsidRPr="00055A92" w:rsidRDefault="00833AF5" w:rsidP="00055A9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833AF5">
        <w:rPr>
          <w:rFonts w:eastAsiaTheme="minorHAnsi"/>
          <w:sz w:val="28"/>
          <w:szCs w:val="28"/>
          <w:lang w:eastAsia="en-US"/>
        </w:rPr>
        <w:t xml:space="preserve"> сноске к абзацу четвертому пункта 11 проекта Порядка </w:t>
      </w:r>
      <w:r>
        <w:rPr>
          <w:rFonts w:eastAsiaTheme="minorHAnsi"/>
          <w:sz w:val="28"/>
          <w:szCs w:val="28"/>
          <w:lang w:eastAsia="en-US"/>
        </w:rPr>
        <w:t>следует уточнить</w:t>
      </w:r>
      <w:r w:rsidRPr="00833AF5">
        <w:rPr>
          <w:rFonts w:eastAsiaTheme="minorHAnsi"/>
          <w:sz w:val="28"/>
          <w:szCs w:val="28"/>
          <w:lang w:eastAsia="en-US"/>
        </w:rPr>
        <w:t xml:space="preserve"> условие, в случае отсутствия которого используется средний удельный показатель кадастровой стоимости земли соответствующего назначения.  </w:t>
      </w:r>
    </w:p>
    <w:p w:rsidR="00265742" w:rsidRDefault="005C730E" w:rsidP="00D7462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65742">
        <w:rPr>
          <w:sz w:val="28"/>
          <w:szCs w:val="28"/>
        </w:rPr>
        <w:t xml:space="preserve"> подпункте 1 пункта 12 Порядка необходимо уточнить срок действия договора на размещение объектов, указанных в данном подпункте.</w:t>
      </w:r>
    </w:p>
    <w:p w:rsidR="00265742" w:rsidRDefault="00265742" w:rsidP="00265742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Положения пункта 13 Порядка, согласно которым р</w:t>
      </w:r>
      <w:r w:rsidRPr="00265742">
        <w:rPr>
          <w:sz w:val="28"/>
          <w:szCs w:val="28"/>
        </w:rPr>
        <w:t>азмещение объектов, указанных в подпунктах 19, 20, 22, 24, 25, 28, 30 пункта 3 Порядка, а также в случае поступлени</w:t>
      </w:r>
      <w:r w:rsidR="00B4104A">
        <w:rPr>
          <w:sz w:val="28"/>
          <w:szCs w:val="28"/>
        </w:rPr>
        <w:t>я</w:t>
      </w:r>
      <w:r w:rsidRPr="00265742">
        <w:rPr>
          <w:sz w:val="28"/>
          <w:szCs w:val="28"/>
        </w:rPr>
        <w:t xml:space="preserve"> двух и более заявлений о выдаче решения </w:t>
      </w:r>
      <w:r w:rsidR="002C7B94">
        <w:rPr>
          <w:sz w:val="28"/>
          <w:szCs w:val="28"/>
        </w:rPr>
        <w:t xml:space="preserve">                    </w:t>
      </w:r>
      <w:r w:rsidRPr="00265742">
        <w:rPr>
          <w:sz w:val="28"/>
          <w:szCs w:val="28"/>
        </w:rPr>
        <w:t>об использовании или договора о размещении осуществляется на основании договора о размещении, выданного уполномоченным органом по результатам аукциона</w:t>
      </w:r>
      <w:r>
        <w:rPr>
          <w:sz w:val="28"/>
          <w:szCs w:val="28"/>
        </w:rPr>
        <w:t xml:space="preserve">, противоречат пункту 9 Порядка, </w:t>
      </w:r>
      <w:r w:rsidR="002C7B94">
        <w:rPr>
          <w:sz w:val="28"/>
          <w:szCs w:val="28"/>
        </w:rPr>
        <w:t>которым предусмотрено, что и</w:t>
      </w:r>
      <w:r w:rsidR="002C7B94" w:rsidRPr="002C7B94">
        <w:rPr>
          <w:sz w:val="28"/>
          <w:szCs w:val="28"/>
        </w:rPr>
        <w:t>спользование земельных</w:t>
      </w:r>
      <w:proofErr w:type="gramEnd"/>
      <w:r w:rsidR="002C7B94" w:rsidRPr="002C7B94">
        <w:rPr>
          <w:sz w:val="28"/>
          <w:szCs w:val="28"/>
        </w:rPr>
        <w:t xml:space="preserve"> участков для размещения объектов, указанных в подпунктах 1-21, 26, 27, 29 пункта 3 Порядка, осуществляется на безвозмездной основе.</w:t>
      </w:r>
    </w:p>
    <w:p w:rsidR="005C730E" w:rsidRDefault="005C730E" w:rsidP="0026574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14 Порядка необходимо уточнить номер пункта Порядка, устанавливающего перечень документов, подлежащих представлению в уполномоченный орган, а </w:t>
      </w:r>
      <w:r w:rsidRPr="005C730E">
        <w:rPr>
          <w:sz w:val="28"/>
          <w:szCs w:val="28"/>
        </w:rPr>
        <w:t>также конкретизировать, об отказе в получении чего уполномоченный орган имеет право принять соответствующее решение</w:t>
      </w:r>
      <w:r>
        <w:rPr>
          <w:sz w:val="28"/>
          <w:szCs w:val="28"/>
        </w:rPr>
        <w:t>.</w:t>
      </w:r>
    </w:p>
    <w:p w:rsidR="00807F6C" w:rsidRDefault="002C7B94" w:rsidP="0026574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принятия решения о размещении объектов либо об отказе</w:t>
      </w:r>
      <w:r w:rsidR="00B4104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в</w:t>
      </w:r>
      <w:r w:rsidR="00B4104A">
        <w:rPr>
          <w:sz w:val="28"/>
          <w:szCs w:val="28"/>
        </w:rPr>
        <w:t xml:space="preserve"> </w:t>
      </w:r>
      <w:r>
        <w:rPr>
          <w:sz w:val="28"/>
          <w:szCs w:val="28"/>
        </w:rPr>
        <w:t>их размещении (за исключением принятия решения о размещении по результатам аукциона), установленный пунктом 14 Порядка</w:t>
      </w:r>
      <w:r w:rsidR="00055A92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составляет</w:t>
      </w:r>
      <w:r w:rsidR="0002768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30 дней</w:t>
      </w:r>
      <w:r w:rsidR="00807F6C">
        <w:rPr>
          <w:sz w:val="28"/>
          <w:szCs w:val="28"/>
        </w:rPr>
        <w:t xml:space="preserve"> </w:t>
      </w:r>
      <w:proofErr w:type="gramStart"/>
      <w:r w:rsidR="00807F6C">
        <w:rPr>
          <w:sz w:val="28"/>
          <w:szCs w:val="28"/>
        </w:rPr>
        <w:t>с даты подачи</w:t>
      </w:r>
      <w:proofErr w:type="gramEnd"/>
      <w:r w:rsidR="00807F6C">
        <w:rPr>
          <w:sz w:val="28"/>
          <w:szCs w:val="28"/>
        </w:rPr>
        <w:t xml:space="preserve"> заявления.</w:t>
      </w:r>
    </w:p>
    <w:p w:rsidR="00807F6C" w:rsidRDefault="00807F6C" w:rsidP="0026574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то же время срок принятия решения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согласно пункту 19 Порядка </w:t>
      </w:r>
      <w:r w:rsidR="002C7B94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всего </w:t>
      </w:r>
      <w:r w:rsidR="002C7B94">
        <w:rPr>
          <w:sz w:val="28"/>
          <w:szCs w:val="28"/>
        </w:rPr>
        <w:t xml:space="preserve">5 дней после поступления </w:t>
      </w:r>
      <w:r>
        <w:rPr>
          <w:sz w:val="28"/>
          <w:szCs w:val="28"/>
        </w:rPr>
        <w:t xml:space="preserve">заявления. При этом срок принятия заявок на участие в аукционе составляет 20 дней </w:t>
      </w:r>
      <w:r w:rsidR="00B4104A"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решения о его проведении, а подготовка проекта договора на размещение объекта – еще </w:t>
      </w:r>
      <w:r w:rsidR="0016004F">
        <w:rPr>
          <w:sz w:val="28"/>
          <w:szCs w:val="28"/>
        </w:rPr>
        <w:t>10 дней с момента проведения аукциона.</w:t>
      </w:r>
    </w:p>
    <w:p w:rsidR="00807F6C" w:rsidRDefault="00807F6C" w:rsidP="0026574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изложенным считаем целесообразным рассмотреть вопрос </w:t>
      </w:r>
      <w:r w:rsidR="0002768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о сокращении общего </w:t>
      </w:r>
      <w:r w:rsidR="0016004F">
        <w:rPr>
          <w:sz w:val="28"/>
          <w:szCs w:val="28"/>
        </w:rPr>
        <w:t xml:space="preserve">срока рассмотрения заявлений, предусмотренного пунктом 14 Порядка, а также изменении сроков принятия решения </w:t>
      </w:r>
      <w:r w:rsidR="00027689">
        <w:rPr>
          <w:sz w:val="28"/>
          <w:szCs w:val="28"/>
        </w:rPr>
        <w:t xml:space="preserve">                            </w:t>
      </w:r>
      <w:r w:rsidR="0016004F">
        <w:rPr>
          <w:sz w:val="28"/>
          <w:szCs w:val="28"/>
        </w:rPr>
        <w:t>о проведен</w:t>
      </w:r>
      <w:proofErr w:type="gramStart"/>
      <w:r w:rsidR="0016004F">
        <w:rPr>
          <w:sz w:val="28"/>
          <w:szCs w:val="28"/>
        </w:rPr>
        <w:t>ии ау</w:t>
      </w:r>
      <w:proofErr w:type="gramEnd"/>
      <w:r w:rsidR="0016004F">
        <w:rPr>
          <w:sz w:val="28"/>
          <w:szCs w:val="28"/>
        </w:rPr>
        <w:t>кциона.</w:t>
      </w:r>
    </w:p>
    <w:p w:rsidR="009A42BB" w:rsidRDefault="009A42BB" w:rsidP="0026574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рекомендуем во избежание неверного толкования и исчисления временных сроков, предусмотренных Порядком, обозначать их единообразно только в рабочих или календарных днях.</w:t>
      </w:r>
    </w:p>
    <w:p w:rsidR="009A42BB" w:rsidRDefault="009A42BB" w:rsidP="0026574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46 Порядка плата по договору за размещение подлежит внесению в бюджет соответствующего уровня не позднее 10 дней со дня получения такого договора. 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несвоевременное внесение платы является основанием для расторжения указанного договора.</w:t>
      </w:r>
    </w:p>
    <w:p w:rsidR="009A42BB" w:rsidRDefault="009A42BB" w:rsidP="0026574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 разделом 3 типового договора о размещении объекта, предусмотренного приложени</w:t>
      </w:r>
      <w:r w:rsidR="00B4104A">
        <w:rPr>
          <w:sz w:val="28"/>
          <w:szCs w:val="28"/>
        </w:rPr>
        <w:t>ем</w:t>
      </w:r>
      <w:r>
        <w:rPr>
          <w:sz w:val="28"/>
          <w:szCs w:val="28"/>
        </w:rPr>
        <w:t xml:space="preserve"> № 2 к Порядку (далее </w:t>
      </w:r>
      <w:r w:rsidR="009F025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F025D">
        <w:rPr>
          <w:sz w:val="28"/>
          <w:szCs w:val="28"/>
        </w:rPr>
        <w:t>типовой договор)</w:t>
      </w:r>
      <w:r>
        <w:rPr>
          <w:sz w:val="28"/>
          <w:szCs w:val="28"/>
        </w:rPr>
        <w:t>, установлено, что плата за размещение объекта вносится ежемесячно равными частями не позднее 10 числа месяца, за который производится оплата.</w:t>
      </w:r>
    </w:p>
    <w:p w:rsidR="009A42BB" w:rsidRDefault="009A42BB" w:rsidP="0026574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9F025D">
        <w:rPr>
          <w:sz w:val="28"/>
          <w:szCs w:val="28"/>
        </w:rPr>
        <w:t>пунктом 3.4 типового договора предусмотрена выплата пени за просрочку внесения платы.</w:t>
      </w:r>
    </w:p>
    <w:p w:rsidR="009F025D" w:rsidRDefault="009F025D" w:rsidP="0026574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различных сроков действия документов о размещении                    (от 6 месяцев до </w:t>
      </w:r>
      <w:r w:rsidR="009B01BA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 лет), а также несогласованностью пунктов 46 и 47 Порядка и раздела 3 типового договора, процедура внесения платы </w:t>
      </w:r>
      <w:r w:rsidR="00027689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за размещение объектов нуждается в доработке.</w:t>
      </w:r>
    </w:p>
    <w:p w:rsidR="00A021D4" w:rsidRDefault="00A021D4" w:rsidP="00265742">
      <w:pPr>
        <w:pStyle w:val="Default"/>
        <w:ind w:firstLine="708"/>
        <w:jc w:val="both"/>
        <w:rPr>
          <w:sz w:val="28"/>
          <w:szCs w:val="28"/>
        </w:rPr>
      </w:pPr>
      <w:r w:rsidRPr="00A021D4">
        <w:rPr>
          <w:sz w:val="28"/>
          <w:szCs w:val="28"/>
        </w:rPr>
        <w:t>В пунктах 1.2, 3.1 приложения № 2 к проекту Порядка имеются ссылки на приложения, не представленные в Проекте.</w:t>
      </w:r>
    </w:p>
    <w:p w:rsidR="00D74620" w:rsidRDefault="009F025D" w:rsidP="00265742">
      <w:pPr>
        <w:pStyle w:val="Default"/>
        <w:ind w:firstLine="708"/>
        <w:jc w:val="both"/>
        <w:rPr>
          <w:sz w:val="28"/>
          <w:szCs w:val="28"/>
        </w:rPr>
      </w:pPr>
      <w:r w:rsidRPr="009F025D">
        <w:rPr>
          <w:sz w:val="28"/>
          <w:szCs w:val="28"/>
        </w:rPr>
        <w:t xml:space="preserve">На основании вышеизложенного сообщаем, что Проект содержит положения, вводящие избыточные обязанности, запреты и ограничения                         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</w:t>
      </w:r>
      <w:r w:rsidR="00B4104A">
        <w:rPr>
          <w:sz w:val="28"/>
          <w:szCs w:val="28"/>
        </w:rPr>
        <w:t xml:space="preserve">и инвестиционной </w:t>
      </w:r>
      <w:r w:rsidRPr="009F025D">
        <w:rPr>
          <w:sz w:val="28"/>
          <w:szCs w:val="28"/>
        </w:rPr>
        <w:t>деятельности и бюджета Республики Башкортостан. Положения, ограничивающие конкуренцию, в Проекте не выявлены.</w:t>
      </w:r>
    </w:p>
    <w:p w:rsidR="003606C7" w:rsidRDefault="003606C7" w:rsidP="00152347">
      <w:pPr>
        <w:jc w:val="both"/>
        <w:rPr>
          <w:sz w:val="28"/>
          <w:szCs w:val="28"/>
        </w:rPr>
      </w:pPr>
    </w:p>
    <w:p w:rsidR="00AC744E" w:rsidRDefault="00AC744E" w:rsidP="00152347">
      <w:pPr>
        <w:jc w:val="both"/>
        <w:rPr>
          <w:sz w:val="28"/>
          <w:szCs w:val="28"/>
        </w:rPr>
      </w:pPr>
    </w:p>
    <w:p w:rsidR="008D2225" w:rsidRPr="00C94D90" w:rsidRDefault="008D2225" w:rsidP="00152347">
      <w:pPr>
        <w:jc w:val="both"/>
        <w:rPr>
          <w:sz w:val="28"/>
          <w:szCs w:val="28"/>
        </w:rPr>
      </w:pPr>
    </w:p>
    <w:p w:rsidR="001F57D7" w:rsidRPr="00C94D90" w:rsidRDefault="00F15A3A" w:rsidP="001776B8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E7AEB">
        <w:rPr>
          <w:sz w:val="28"/>
          <w:szCs w:val="28"/>
        </w:rPr>
        <w:t>аместитель м</w:t>
      </w:r>
      <w:r w:rsidR="000B01FE">
        <w:rPr>
          <w:sz w:val="28"/>
          <w:szCs w:val="28"/>
        </w:rPr>
        <w:t>инистр</w:t>
      </w:r>
      <w:r w:rsidR="008E7AEB">
        <w:rPr>
          <w:sz w:val="28"/>
          <w:szCs w:val="28"/>
        </w:rPr>
        <w:t>а</w:t>
      </w:r>
      <w:r w:rsidR="000B01FE">
        <w:rPr>
          <w:sz w:val="28"/>
          <w:szCs w:val="28"/>
        </w:rPr>
        <w:t xml:space="preserve">                                    </w:t>
      </w:r>
      <w:r w:rsidR="002A65DD">
        <w:rPr>
          <w:sz w:val="28"/>
          <w:szCs w:val="28"/>
        </w:rPr>
        <w:t xml:space="preserve">                </w:t>
      </w:r>
      <w:r w:rsidR="008E50B1">
        <w:rPr>
          <w:sz w:val="28"/>
          <w:szCs w:val="28"/>
        </w:rPr>
        <w:t xml:space="preserve">  </w:t>
      </w:r>
      <w:r w:rsidR="00A83CC8">
        <w:rPr>
          <w:sz w:val="28"/>
          <w:szCs w:val="28"/>
        </w:rPr>
        <w:t xml:space="preserve">             </w:t>
      </w:r>
      <w:r w:rsidR="008E7AEB">
        <w:rPr>
          <w:sz w:val="28"/>
          <w:szCs w:val="28"/>
        </w:rPr>
        <w:t xml:space="preserve"> </w:t>
      </w:r>
      <w:r w:rsidR="008E50B1">
        <w:rPr>
          <w:sz w:val="28"/>
          <w:szCs w:val="28"/>
        </w:rPr>
        <w:t xml:space="preserve"> </w:t>
      </w:r>
      <w:r w:rsidR="00A83CC8">
        <w:rPr>
          <w:sz w:val="28"/>
          <w:szCs w:val="28"/>
        </w:rPr>
        <w:t>Л.В. Мизонова</w:t>
      </w:r>
    </w:p>
    <w:p w:rsidR="00C73C33" w:rsidRDefault="00C73C33">
      <w:pPr>
        <w:rPr>
          <w:sz w:val="14"/>
          <w:szCs w:val="14"/>
        </w:rPr>
      </w:pPr>
    </w:p>
    <w:p w:rsidR="000B3193" w:rsidRDefault="000B3193">
      <w:pPr>
        <w:rPr>
          <w:sz w:val="14"/>
          <w:szCs w:val="14"/>
        </w:rPr>
      </w:pPr>
    </w:p>
    <w:p w:rsidR="004E23C6" w:rsidRDefault="004E23C6">
      <w:pPr>
        <w:rPr>
          <w:sz w:val="14"/>
          <w:szCs w:val="14"/>
        </w:rPr>
      </w:pPr>
    </w:p>
    <w:p w:rsidR="004E23C6" w:rsidRDefault="004E23C6">
      <w:pPr>
        <w:rPr>
          <w:sz w:val="14"/>
          <w:szCs w:val="14"/>
        </w:rPr>
      </w:pPr>
    </w:p>
    <w:p w:rsidR="004E23C6" w:rsidRDefault="004E23C6">
      <w:pPr>
        <w:rPr>
          <w:sz w:val="14"/>
          <w:szCs w:val="14"/>
        </w:rPr>
      </w:pPr>
    </w:p>
    <w:p w:rsidR="00A021D4" w:rsidRDefault="00A021D4">
      <w:pPr>
        <w:rPr>
          <w:sz w:val="14"/>
          <w:szCs w:val="14"/>
        </w:rPr>
      </w:pPr>
    </w:p>
    <w:p w:rsidR="00A021D4" w:rsidRDefault="00A021D4">
      <w:pPr>
        <w:rPr>
          <w:sz w:val="14"/>
          <w:szCs w:val="14"/>
        </w:rPr>
      </w:pPr>
    </w:p>
    <w:p w:rsidR="004E23C6" w:rsidRDefault="004E23C6">
      <w:pPr>
        <w:rPr>
          <w:sz w:val="14"/>
          <w:szCs w:val="14"/>
        </w:rPr>
      </w:pPr>
    </w:p>
    <w:p w:rsidR="004E23C6" w:rsidRDefault="004E23C6">
      <w:pPr>
        <w:rPr>
          <w:sz w:val="14"/>
          <w:szCs w:val="14"/>
        </w:rPr>
      </w:pPr>
    </w:p>
    <w:p w:rsidR="004E23C6" w:rsidRDefault="004E23C6">
      <w:pPr>
        <w:rPr>
          <w:sz w:val="14"/>
          <w:szCs w:val="14"/>
        </w:rPr>
      </w:pPr>
    </w:p>
    <w:p w:rsidR="00197088" w:rsidRDefault="00197088">
      <w:pPr>
        <w:rPr>
          <w:sz w:val="14"/>
          <w:szCs w:val="14"/>
        </w:rPr>
      </w:pPr>
    </w:p>
    <w:p w:rsidR="00870299" w:rsidRDefault="00870299">
      <w:pPr>
        <w:rPr>
          <w:sz w:val="14"/>
          <w:szCs w:val="14"/>
        </w:rPr>
      </w:pPr>
    </w:p>
    <w:p w:rsidR="00870299" w:rsidRDefault="00870299">
      <w:pPr>
        <w:rPr>
          <w:sz w:val="14"/>
          <w:szCs w:val="14"/>
        </w:rPr>
      </w:pPr>
    </w:p>
    <w:p w:rsidR="0053213D" w:rsidRDefault="00197088">
      <w:pPr>
        <w:rPr>
          <w:sz w:val="20"/>
          <w:szCs w:val="20"/>
        </w:rPr>
      </w:pPr>
      <w:r>
        <w:rPr>
          <w:sz w:val="20"/>
          <w:szCs w:val="20"/>
        </w:rPr>
        <w:t>Юрченко Константин Борисович</w:t>
      </w:r>
    </w:p>
    <w:p w:rsidR="0017473C" w:rsidRPr="00A85BE8" w:rsidRDefault="00C504A1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666866">
        <w:rPr>
          <w:sz w:val="20"/>
          <w:szCs w:val="20"/>
        </w:rPr>
        <w:t>808657</w:t>
      </w:r>
      <w:r w:rsidR="00A85BE8" w:rsidRPr="00A85BE8">
        <w:rPr>
          <w:sz w:val="20"/>
          <w:szCs w:val="20"/>
        </w:rPr>
        <w:t xml:space="preserve">, </w:t>
      </w:r>
      <w:r w:rsidR="0053213D">
        <w:rPr>
          <w:sz w:val="20"/>
          <w:szCs w:val="20"/>
        </w:rPr>
        <w:t>11</w:t>
      </w:r>
      <w:r w:rsidR="00197088">
        <w:rPr>
          <w:sz w:val="20"/>
          <w:szCs w:val="20"/>
        </w:rPr>
        <w:t>152</w:t>
      </w:r>
    </w:p>
    <w:sectPr w:rsidR="0017473C" w:rsidRPr="00A85BE8" w:rsidSect="00027689">
      <w:headerReference w:type="default" r:id="rId9"/>
      <w:pgSz w:w="11906" w:h="16838" w:code="9"/>
      <w:pgMar w:top="284" w:right="850" w:bottom="567" w:left="1701" w:header="28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D72" w:rsidRDefault="000B5D72" w:rsidP="00007262">
      <w:r>
        <w:separator/>
      </w:r>
    </w:p>
  </w:endnote>
  <w:endnote w:type="continuationSeparator" w:id="0">
    <w:p w:rsidR="000B5D72" w:rsidRDefault="000B5D72" w:rsidP="0000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D72" w:rsidRDefault="000B5D72" w:rsidP="00007262">
      <w:r>
        <w:separator/>
      </w:r>
    </w:p>
  </w:footnote>
  <w:footnote w:type="continuationSeparator" w:id="0">
    <w:p w:rsidR="000B5D72" w:rsidRDefault="000B5D72" w:rsidP="00007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262" w:rsidRDefault="0000726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B01BA">
      <w:rPr>
        <w:noProof/>
      </w:rPr>
      <w:t>2</w:t>
    </w:r>
    <w:r>
      <w:fldChar w:fldCharType="end"/>
    </w:r>
  </w:p>
  <w:p w:rsidR="00007262" w:rsidRDefault="000072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2E56"/>
    <w:multiLevelType w:val="hybridMultilevel"/>
    <w:tmpl w:val="9544DBFE"/>
    <w:lvl w:ilvl="0" w:tplc="CD3639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8D34D6"/>
    <w:multiLevelType w:val="hybridMultilevel"/>
    <w:tmpl w:val="DD00F654"/>
    <w:lvl w:ilvl="0" w:tplc="DAF8D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59"/>
    <w:rsid w:val="00004597"/>
    <w:rsid w:val="00007262"/>
    <w:rsid w:val="00007417"/>
    <w:rsid w:val="00007607"/>
    <w:rsid w:val="00010269"/>
    <w:rsid w:val="00015001"/>
    <w:rsid w:val="00016A5B"/>
    <w:rsid w:val="00023E8B"/>
    <w:rsid w:val="000275B2"/>
    <w:rsid w:val="00027689"/>
    <w:rsid w:val="000276FB"/>
    <w:rsid w:val="00032BE0"/>
    <w:rsid w:val="00040F15"/>
    <w:rsid w:val="00042145"/>
    <w:rsid w:val="00050CAD"/>
    <w:rsid w:val="0005164F"/>
    <w:rsid w:val="00053163"/>
    <w:rsid w:val="00055A92"/>
    <w:rsid w:val="000561FE"/>
    <w:rsid w:val="000621DD"/>
    <w:rsid w:val="00065B5C"/>
    <w:rsid w:val="000942BF"/>
    <w:rsid w:val="000957A9"/>
    <w:rsid w:val="000972F9"/>
    <w:rsid w:val="000A0A1D"/>
    <w:rsid w:val="000A40EB"/>
    <w:rsid w:val="000A7AF1"/>
    <w:rsid w:val="000B01FE"/>
    <w:rsid w:val="000B1631"/>
    <w:rsid w:val="000B3193"/>
    <w:rsid w:val="000B31A6"/>
    <w:rsid w:val="000B3C9A"/>
    <w:rsid w:val="000B5D6E"/>
    <w:rsid w:val="000B5D72"/>
    <w:rsid w:val="000B6D42"/>
    <w:rsid w:val="000B6EDA"/>
    <w:rsid w:val="000B7C7D"/>
    <w:rsid w:val="000C09B7"/>
    <w:rsid w:val="000C2264"/>
    <w:rsid w:val="000C7401"/>
    <w:rsid w:val="000D028A"/>
    <w:rsid w:val="000D0592"/>
    <w:rsid w:val="000D2FE8"/>
    <w:rsid w:val="000D3B2C"/>
    <w:rsid w:val="000D5487"/>
    <w:rsid w:val="000D571B"/>
    <w:rsid w:val="000D7B9D"/>
    <w:rsid w:val="000E1579"/>
    <w:rsid w:val="000E1B92"/>
    <w:rsid w:val="000E2B3D"/>
    <w:rsid w:val="000E2EDD"/>
    <w:rsid w:val="000E5626"/>
    <w:rsid w:val="000E632A"/>
    <w:rsid w:val="000F1EBF"/>
    <w:rsid w:val="00100A31"/>
    <w:rsid w:val="00101C5E"/>
    <w:rsid w:val="00113167"/>
    <w:rsid w:val="00123C2F"/>
    <w:rsid w:val="001241D8"/>
    <w:rsid w:val="001305EC"/>
    <w:rsid w:val="0013490D"/>
    <w:rsid w:val="001350EE"/>
    <w:rsid w:val="00146BC7"/>
    <w:rsid w:val="0014796E"/>
    <w:rsid w:val="00147F58"/>
    <w:rsid w:val="00152347"/>
    <w:rsid w:val="00154F1A"/>
    <w:rsid w:val="00156C68"/>
    <w:rsid w:val="0016004F"/>
    <w:rsid w:val="00160433"/>
    <w:rsid w:val="001612E2"/>
    <w:rsid w:val="00161393"/>
    <w:rsid w:val="00164797"/>
    <w:rsid w:val="00165388"/>
    <w:rsid w:val="001666BA"/>
    <w:rsid w:val="0017473C"/>
    <w:rsid w:val="0017666A"/>
    <w:rsid w:val="001776B8"/>
    <w:rsid w:val="00183C64"/>
    <w:rsid w:val="00186378"/>
    <w:rsid w:val="00186EC9"/>
    <w:rsid w:val="0019025A"/>
    <w:rsid w:val="00191704"/>
    <w:rsid w:val="00192365"/>
    <w:rsid w:val="00195A7E"/>
    <w:rsid w:val="00197088"/>
    <w:rsid w:val="001B1954"/>
    <w:rsid w:val="001B26A3"/>
    <w:rsid w:val="001B2ABE"/>
    <w:rsid w:val="001B3B8C"/>
    <w:rsid w:val="001B4319"/>
    <w:rsid w:val="001B435E"/>
    <w:rsid w:val="001B6F1E"/>
    <w:rsid w:val="001B73B8"/>
    <w:rsid w:val="001C15CD"/>
    <w:rsid w:val="001C497A"/>
    <w:rsid w:val="001D1877"/>
    <w:rsid w:val="001D27ED"/>
    <w:rsid w:val="001D5CEB"/>
    <w:rsid w:val="001D6642"/>
    <w:rsid w:val="001D694A"/>
    <w:rsid w:val="001E0156"/>
    <w:rsid w:val="001E14BF"/>
    <w:rsid w:val="001E4235"/>
    <w:rsid w:val="001E49E1"/>
    <w:rsid w:val="001E61E5"/>
    <w:rsid w:val="001E6B7A"/>
    <w:rsid w:val="001F10C8"/>
    <w:rsid w:val="001F57D7"/>
    <w:rsid w:val="002009DC"/>
    <w:rsid w:val="00210966"/>
    <w:rsid w:val="00216879"/>
    <w:rsid w:val="002257F1"/>
    <w:rsid w:val="00233544"/>
    <w:rsid w:val="002338B0"/>
    <w:rsid w:val="00237288"/>
    <w:rsid w:val="00240242"/>
    <w:rsid w:val="00241D52"/>
    <w:rsid w:val="00247D7C"/>
    <w:rsid w:val="00253D90"/>
    <w:rsid w:val="002601C7"/>
    <w:rsid w:val="00260812"/>
    <w:rsid w:val="00265742"/>
    <w:rsid w:val="002700A4"/>
    <w:rsid w:val="00271119"/>
    <w:rsid w:val="00273B7C"/>
    <w:rsid w:val="00276D14"/>
    <w:rsid w:val="002A161F"/>
    <w:rsid w:val="002A65DD"/>
    <w:rsid w:val="002A7E00"/>
    <w:rsid w:val="002B1248"/>
    <w:rsid w:val="002B5234"/>
    <w:rsid w:val="002C211F"/>
    <w:rsid w:val="002C26A7"/>
    <w:rsid w:val="002C716C"/>
    <w:rsid w:val="002C7B94"/>
    <w:rsid w:val="002D0E20"/>
    <w:rsid w:val="002D15BB"/>
    <w:rsid w:val="002E5EA0"/>
    <w:rsid w:val="002F3E62"/>
    <w:rsid w:val="00301A96"/>
    <w:rsid w:val="0030677A"/>
    <w:rsid w:val="0030765B"/>
    <w:rsid w:val="0031146A"/>
    <w:rsid w:val="00312CA2"/>
    <w:rsid w:val="00315519"/>
    <w:rsid w:val="00315C87"/>
    <w:rsid w:val="00316A86"/>
    <w:rsid w:val="003219D5"/>
    <w:rsid w:val="003244D6"/>
    <w:rsid w:val="00326367"/>
    <w:rsid w:val="003263A9"/>
    <w:rsid w:val="00327082"/>
    <w:rsid w:val="00327360"/>
    <w:rsid w:val="003307EF"/>
    <w:rsid w:val="0033400C"/>
    <w:rsid w:val="00336549"/>
    <w:rsid w:val="003425B4"/>
    <w:rsid w:val="003468A5"/>
    <w:rsid w:val="0035286A"/>
    <w:rsid w:val="00354502"/>
    <w:rsid w:val="003553AB"/>
    <w:rsid w:val="00356B51"/>
    <w:rsid w:val="003606C7"/>
    <w:rsid w:val="00362397"/>
    <w:rsid w:val="0036661C"/>
    <w:rsid w:val="00372D41"/>
    <w:rsid w:val="003743D9"/>
    <w:rsid w:val="00375751"/>
    <w:rsid w:val="00375E82"/>
    <w:rsid w:val="0037675D"/>
    <w:rsid w:val="00380ECB"/>
    <w:rsid w:val="003839D5"/>
    <w:rsid w:val="00390EE5"/>
    <w:rsid w:val="003912F2"/>
    <w:rsid w:val="003B0A0A"/>
    <w:rsid w:val="003B6D60"/>
    <w:rsid w:val="003B6E3D"/>
    <w:rsid w:val="003C0611"/>
    <w:rsid w:val="003C140B"/>
    <w:rsid w:val="003C1E8F"/>
    <w:rsid w:val="003C6635"/>
    <w:rsid w:val="003D2DB6"/>
    <w:rsid w:val="003D3CA5"/>
    <w:rsid w:val="003E0C6A"/>
    <w:rsid w:val="003E1DD1"/>
    <w:rsid w:val="003E26E7"/>
    <w:rsid w:val="003E36BF"/>
    <w:rsid w:val="003E4CF9"/>
    <w:rsid w:val="003E6276"/>
    <w:rsid w:val="003F054D"/>
    <w:rsid w:val="0040081B"/>
    <w:rsid w:val="00401788"/>
    <w:rsid w:val="00410067"/>
    <w:rsid w:val="00410594"/>
    <w:rsid w:val="00412167"/>
    <w:rsid w:val="00420003"/>
    <w:rsid w:val="00421146"/>
    <w:rsid w:val="00423AA5"/>
    <w:rsid w:val="004244A0"/>
    <w:rsid w:val="00426084"/>
    <w:rsid w:val="00426955"/>
    <w:rsid w:val="00433136"/>
    <w:rsid w:val="004341F7"/>
    <w:rsid w:val="00435E3C"/>
    <w:rsid w:val="004418D4"/>
    <w:rsid w:val="0044304F"/>
    <w:rsid w:val="00444A36"/>
    <w:rsid w:val="00444BAF"/>
    <w:rsid w:val="004579C4"/>
    <w:rsid w:val="00460B93"/>
    <w:rsid w:val="00473359"/>
    <w:rsid w:val="004738D8"/>
    <w:rsid w:val="0047750A"/>
    <w:rsid w:val="004811B7"/>
    <w:rsid w:val="00481790"/>
    <w:rsid w:val="0049172B"/>
    <w:rsid w:val="00492FD3"/>
    <w:rsid w:val="00496547"/>
    <w:rsid w:val="004A2B5E"/>
    <w:rsid w:val="004A44A0"/>
    <w:rsid w:val="004A4C9A"/>
    <w:rsid w:val="004B0AAD"/>
    <w:rsid w:val="004B4FED"/>
    <w:rsid w:val="004B78F7"/>
    <w:rsid w:val="004C160E"/>
    <w:rsid w:val="004C28E4"/>
    <w:rsid w:val="004C2A5E"/>
    <w:rsid w:val="004C6C44"/>
    <w:rsid w:val="004C7D97"/>
    <w:rsid w:val="004D0FE6"/>
    <w:rsid w:val="004E23C6"/>
    <w:rsid w:val="004E5D61"/>
    <w:rsid w:val="004E6885"/>
    <w:rsid w:val="004E7E2E"/>
    <w:rsid w:val="00517561"/>
    <w:rsid w:val="00522715"/>
    <w:rsid w:val="00527319"/>
    <w:rsid w:val="00531DD5"/>
    <w:rsid w:val="0053213D"/>
    <w:rsid w:val="00533D8C"/>
    <w:rsid w:val="00536BD1"/>
    <w:rsid w:val="005379DC"/>
    <w:rsid w:val="00541D5A"/>
    <w:rsid w:val="00545200"/>
    <w:rsid w:val="00556D1B"/>
    <w:rsid w:val="00557946"/>
    <w:rsid w:val="00557947"/>
    <w:rsid w:val="00561FDD"/>
    <w:rsid w:val="00563B35"/>
    <w:rsid w:val="00567695"/>
    <w:rsid w:val="0057013C"/>
    <w:rsid w:val="005743F6"/>
    <w:rsid w:val="00577B9A"/>
    <w:rsid w:val="005844B0"/>
    <w:rsid w:val="005867D1"/>
    <w:rsid w:val="005915A8"/>
    <w:rsid w:val="005A121D"/>
    <w:rsid w:val="005A3B5B"/>
    <w:rsid w:val="005A7843"/>
    <w:rsid w:val="005B01B6"/>
    <w:rsid w:val="005B59D8"/>
    <w:rsid w:val="005C23D8"/>
    <w:rsid w:val="005C2ABE"/>
    <w:rsid w:val="005C3141"/>
    <w:rsid w:val="005C5B00"/>
    <w:rsid w:val="005C730E"/>
    <w:rsid w:val="005D2E7E"/>
    <w:rsid w:val="005E04B1"/>
    <w:rsid w:val="005E0B6D"/>
    <w:rsid w:val="005E2A70"/>
    <w:rsid w:val="005E4F5A"/>
    <w:rsid w:val="005F16F3"/>
    <w:rsid w:val="005F326F"/>
    <w:rsid w:val="005F59B0"/>
    <w:rsid w:val="00610177"/>
    <w:rsid w:val="006215DF"/>
    <w:rsid w:val="00621B62"/>
    <w:rsid w:val="0062388C"/>
    <w:rsid w:val="00630DA2"/>
    <w:rsid w:val="00635614"/>
    <w:rsid w:val="0063681C"/>
    <w:rsid w:val="00640FB8"/>
    <w:rsid w:val="0064366A"/>
    <w:rsid w:val="00647043"/>
    <w:rsid w:val="00647AC5"/>
    <w:rsid w:val="006514E9"/>
    <w:rsid w:val="00655097"/>
    <w:rsid w:val="00666866"/>
    <w:rsid w:val="00671BEB"/>
    <w:rsid w:val="0067333C"/>
    <w:rsid w:val="00674050"/>
    <w:rsid w:val="006761B0"/>
    <w:rsid w:val="0068045A"/>
    <w:rsid w:val="006860F9"/>
    <w:rsid w:val="006860FA"/>
    <w:rsid w:val="00686DDF"/>
    <w:rsid w:val="006A354B"/>
    <w:rsid w:val="006B107F"/>
    <w:rsid w:val="006B39A3"/>
    <w:rsid w:val="006B6050"/>
    <w:rsid w:val="006B61C9"/>
    <w:rsid w:val="006C28DD"/>
    <w:rsid w:val="006C5792"/>
    <w:rsid w:val="006D1B74"/>
    <w:rsid w:val="006D3069"/>
    <w:rsid w:val="006E2A7E"/>
    <w:rsid w:val="006E6403"/>
    <w:rsid w:val="006E721C"/>
    <w:rsid w:val="006F47D2"/>
    <w:rsid w:val="006F590E"/>
    <w:rsid w:val="006F7ECD"/>
    <w:rsid w:val="00712545"/>
    <w:rsid w:val="00715260"/>
    <w:rsid w:val="00717DD3"/>
    <w:rsid w:val="00717E9E"/>
    <w:rsid w:val="0072040E"/>
    <w:rsid w:val="00734CCB"/>
    <w:rsid w:val="007353D4"/>
    <w:rsid w:val="00737390"/>
    <w:rsid w:val="00744CA4"/>
    <w:rsid w:val="00747223"/>
    <w:rsid w:val="00764E7C"/>
    <w:rsid w:val="007657A8"/>
    <w:rsid w:val="00775738"/>
    <w:rsid w:val="00777038"/>
    <w:rsid w:val="007876EF"/>
    <w:rsid w:val="00790BD9"/>
    <w:rsid w:val="00791412"/>
    <w:rsid w:val="007A4578"/>
    <w:rsid w:val="007B13D9"/>
    <w:rsid w:val="007B22F1"/>
    <w:rsid w:val="007B6250"/>
    <w:rsid w:val="007C0AA8"/>
    <w:rsid w:val="007C0C39"/>
    <w:rsid w:val="007C72EC"/>
    <w:rsid w:val="007D1C97"/>
    <w:rsid w:val="007D2FCB"/>
    <w:rsid w:val="007D307A"/>
    <w:rsid w:val="007D4214"/>
    <w:rsid w:val="007D5EC1"/>
    <w:rsid w:val="007E0E78"/>
    <w:rsid w:val="007F0523"/>
    <w:rsid w:val="007F1133"/>
    <w:rsid w:val="007F58BF"/>
    <w:rsid w:val="00801C34"/>
    <w:rsid w:val="00802007"/>
    <w:rsid w:val="008027A1"/>
    <w:rsid w:val="008046F1"/>
    <w:rsid w:val="00806057"/>
    <w:rsid w:val="00807F6C"/>
    <w:rsid w:val="00811B0E"/>
    <w:rsid w:val="00814F51"/>
    <w:rsid w:val="00815AB6"/>
    <w:rsid w:val="0082045C"/>
    <w:rsid w:val="0082767E"/>
    <w:rsid w:val="00831322"/>
    <w:rsid w:val="00833AF5"/>
    <w:rsid w:val="008376DB"/>
    <w:rsid w:val="00840E7C"/>
    <w:rsid w:val="00842CA7"/>
    <w:rsid w:val="00845BFD"/>
    <w:rsid w:val="0084757A"/>
    <w:rsid w:val="00853248"/>
    <w:rsid w:val="008548EF"/>
    <w:rsid w:val="008554BA"/>
    <w:rsid w:val="008610CA"/>
    <w:rsid w:val="00863FF2"/>
    <w:rsid w:val="00870299"/>
    <w:rsid w:val="0087153D"/>
    <w:rsid w:val="00874F63"/>
    <w:rsid w:val="0087572A"/>
    <w:rsid w:val="008765DB"/>
    <w:rsid w:val="00876D8C"/>
    <w:rsid w:val="00881F84"/>
    <w:rsid w:val="00886C6F"/>
    <w:rsid w:val="00890B0D"/>
    <w:rsid w:val="00891418"/>
    <w:rsid w:val="0089177E"/>
    <w:rsid w:val="00892B0F"/>
    <w:rsid w:val="00897821"/>
    <w:rsid w:val="00897BDF"/>
    <w:rsid w:val="008A0A0D"/>
    <w:rsid w:val="008A3C90"/>
    <w:rsid w:val="008A43FB"/>
    <w:rsid w:val="008B0048"/>
    <w:rsid w:val="008B25EF"/>
    <w:rsid w:val="008B4CD9"/>
    <w:rsid w:val="008B6BAC"/>
    <w:rsid w:val="008B716E"/>
    <w:rsid w:val="008C6F23"/>
    <w:rsid w:val="008D2225"/>
    <w:rsid w:val="008D3A61"/>
    <w:rsid w:val="008D4E3D"/>
    <w:rsid w:val="008E50B1"/>
    <w:rsid w:val="008E5873"/>
    <w:rsid w:val="008E7AEB"/>
    <w:rsid w:val="008F0DCB"/>
    <w:rsid w:val="008F39AB"/>
    <w:rsid w:val="00900A59"/>
    <w:rsid w:val="0090227F"/>
    <w:rsid w:val="009035B9"/>
    <w:rsid w:val="00903D11"/>
    <w:rsid w:val="009041B1"/>
    <w:rsid w:val="00910B61"/>
    <w:rsid w:val="0092424A"/>
    <w:rsid w:val="009304D3"/>
    <w:rsid w:val="009324F6"/>
    <w:rsid w:val="009436D1"/>
    <w:rsid w:val="00943E7C"/>
    <w:rsid w:val="0094689D"/>
    <w:rsid w:val="00950B42"/>
    <w:rsid w:val="00951758"/>
    <w:rsid w:val="009645D3"/>
    <w:rsid w:val="00965273"/>
    <w:rsid w:val="00966F9F"/>
    <w:rsid w:val="0097019A"/>
    <w:rsid w:val="00972E84"/>
    <w:rsid w:val="00974408"/>
    <w:rsid w:val="00976B97"/>
    <w:rsid w:val="00981BAC"/>
    <w:rsid w:val="00982242"/>
    <w:rsid w:val="0098321F"/>
    <w:rsid w:val="00984DB4"/>
    <w:rsid w:val="00987AB3"/>
    <w:rsid w:val="00990B42"/>
    <w:rsid w:val="00990C8B"/>
    <w:rsid w:val="009914A3"/>
    <w:rsid w:val="009930D0"/>
    <w:rsid w:val="00997950"/>
    <w:rsid w:val="009A42BB"/>
    <w:rsid w:val="009A4E1D"/>
    <w:rsid w:val="009A608C"/>
    <w:rsid w:val="009B01BA"/>
    <w:rsid w:val="009B114C"/>
    <w:rsid w:val="009B4493"/>
    <w:rsid w:val="009C26CB"/>
    <w:rsid w:val="009C3493"/>
    <w:rsid w:val="009C47F0"/>
    <w:rsid w:val="009C7496"/>
    <w:rsid w:val="009E365F"/>
    <w:rsid w:val="009E4E51"/>
    <w:rsid w:val="009E6039"/>
    <w:rsid w:val="009E78D0"/>
    <w:rsid w:val="009F025D"/>
    <w:rsid w:val="00A021D4"/>
    <w:rsid w:val="00A0563C"/>
    <w:rsid w:val="00A06CE9"/>
    <w:rsid w:val="00A073E6"/>
    <w:rsid w:val="00A11A2E"/>
    <w:rsid w:val="00A167C5"/>
    <w:rsid w:val="00A22456"/>
    <w:rsid w:val="00A256A6"/>
    <w:rsid w:val="00A26EBE"/>
    <w:rsid w:val="00A27A1A"/>
    <w:rsid w:val="00A34DD4"/>
    <w:rsid w:val="00A432E7"/>
    <w:rsid w:val="00A445C4"/>
    <w:rsid w:val="00A47909"/>
    <w:rsid w:val="00A502C5"/>
    <w:rsid w:val="00A5288A"/>
    <w:rsid w:val="00A54CB8"/>
    <w:rsid w:val="00A55027"/>
    <w:rsid w:val="00A56BC7"/>
    <w:rsid w:val="00A60F65"/>
    <w:rsid w:val="00A63C89"/>
    <w:rsid w:val="00A66E90"/>
    <w:rsid w:val="00A80171"/>
    <w:rsid w:val="00A82579"/>
    <w:rsid w:val="00A83CC8"/>
    <w:rsid w:val="00A85BE8"/>
    <w:rsid w:val="00A96095"/>
    <w:rsid w:val="00A96D0D"/>
    <w:rsid w:val="00AA2786"/>
    <w:rsid w:val="00AA27B4"/>
    <w:rsid w:val="00AB1CF3"/>
    <w:rsid w:val="00AB42ED"/>
    <w:rsid w:val="00AB7CA8"/>
    <w:rsid w:val="00AC43BC"/>
    <w:rsid w:val="00AC58A7"/>
    <w:rsid w:val="00AC744E"/>
    <w:rsid w:val="00AD3D0D"/>
    <w:rsid w:val="00AE1AF7"/>
    <w:rsid w:val="00AE6263"/>
    <w:rsid w:val="00AE7844"/>
    <w:rsid w:val="00AF2A92"/>
    <w:rsid w:val="00B01186"/>
    <w:rsid w:val="00B052FA"/>
    <w:rsid w:val="00B07B5B"/>
    <w:rsid w:val="00B1240B"/>
    <w:rsid w:val="00B12C6A"/>
    <w:rsid w:val="00B17049"/>
    <w:rsid w:val="00B229F9"/>
    <w:rsid w:val="00B344F1"/>
    <w:rsid w:val="00B4104A"/>
    <w:rsid w:val="00B41EAC"/>
    <w:rsid w:val="00B458D1"/>
    <w:rsid w:val="00B500EC"/>
    <w:rsid w:val="00B515B8"/>
    <w:rsid w:val="00B5618E"/>
    <w:rsid w:val="00B57D6B"/>
    <w:rsid w:val="00B63080"/>
    <w:rsid w:val="00B65A90"/>
    <w:rsid w:val="00B67A5D"/>
    <w:rsid w:val="00B70FE0"/>
    <w:rsid w:val="00B71860"/>
    <w:rsid w:val="00B7486B"/>
    <w:rsid w:val="00B77831"/>
    <w:rsid w:val="00B8117E"/>
    <w:rsid w:val="00B82AA0"/>
    <w:rsid w:val="00B87342"/>
    <w:rsid w:val="00BA3ECC"/>
    <w:rsid w:val="00BA5A09"/>
    <w:rsid w:val="00BB1F2A"/>
    <w:rsid w:val="00BB396C"/>
    <w:rsid w:val="00BB730B"/>
    <w:rsid w:val="00BB751A"/>
    <w:rsid w:val="00BC0444"/>
    <w:rsid w:val="00BC2519"/>
    <w:rsid w:val="00BC363A"/>
    <w:rsid w:val="00BC693B"/>
    <w:rsid w:val="00BC7E70"/>
    <w:rsid w:val="00BD4DF8"/>
    <w:rsid w:val="00BF05C4"/>
    <w:rsid w:val="00C0365E"/>
    <w:rsid w:val="00C156A0"/>
    <w:rsid w:val="00C201EB"/>
    <w:rsid w:val="00C22908"/>
    <w:rsid w:val="00C27E8D"/>
    <w:rsid w:val="00C308D1"/>
    <w:rsid w:val="00C3337D"/>
    <w:rsid w:val="00C33878"/>
    <w:rsid w:val="00C40B06"/>
    <w:rsid w:val="00C40B0E"/>
    <w:rsid w:val="00C46F9E"/>
    <w:rsid w:val="00C504A1"/>
    <w:rsid w:val="00C50576"/>
    <w:rsid w:val="00C5542D"/>
    <w:rsid w:val="00C556A2"/>
    <w:rsid w:val="00C560F5"/>
    <w:rsid w:val="00C56E4F"/>
    <w:rsid w:val="00C57EBC"/>
    <w:rsid w:val="00C6076A"/>
    <w:rsid w:val="00C6195C"/>
    <w:rsid w:val="00C62F96"/>
    <w:rsid w:val="00C63CF4"/>
    <w:rsid w:val="00C645E5"/>
    <w:rsid w:val="00C73B65"/>
    <w:rsid w:val="00C73C33"/>
    <w:rsid w:val="00C80663"/>
    <w:rsid w:val="00C813A9"/>
    <w:rsid w:val="00C845E4"/>
    <w:rsid w:val="00C848E8"/>
    <w:rsid w:val="00C86DEE"/>
    <w:rsid w:val="00C94D90"/>
    <w:rsid w:val="00C96994"/>
    <w:rsid w:val="00CA4C37"/>
    <w:rsid w:val="00CB4742"/>
    <w:rsid w:val="00CC42E1"/>
    <w:rsid w:val="00CC6443"/>
    <w:rsid w:val="00CD6019"/>
    <w:rsid w:val="00CE205A"/>
    <w:rsid w:val="00CF16BC"/>
    <w:rsid w:val="00CF42CD"/>
    <w:rsid w:val="00CF4D2A"/>
    <w:rsid w:val="00D05EBE"/>
    <w:rsid w:val="00D12BA6"/>
    <w:rsid w:val="00D14124"/>
    <w:rsid w:val="00D20B8C"/>
    <w:rsid w:val="00D3658F"/>
    <w:rsid w:val="00D37B34"/>
    <w:rsid w:val="00D44F8D"/>
    <w:rsid w:val="00D468AA"/>
    <w:rsid w:val="00D604B4"/>
    <w:rsid w:val="00D63F81"/>
    <w:rsid w:val="00D71C16"/>
    <w:rsid w:val="00D74620"/>
    <w:rsid w:val="00D74AAB"/>
    <w:rsid w:val="00D94962"/>
    <w:rsid w:val="00D974C5"/>
    <w:rsid w:val="00DA2013"/>
    <w:rsid w:val="00DA3BFA"/>
    <w:rsid w:val="00DA4598"/>
    <w:rsid w:val="00DA7B8D"/>
    <w:rsid w:val="00DB0801"/>
    <w:rsid w:val="00DB0BBA"/>
    <w:rsid w:val="00DB1046"/>
    <w:rsid w:val="00DB150A"/>
    <w:rsid w:val="00DB5A46"/>
    <w:rsid w:val="00DB749A"/>
    <w:rsid w:val="00DC1758"/>
    <w:rsid w:val="00DC20A9"/>
    <w:rsid w:val="00DC344B"/>
    <w:rsid w:val="00DC7952"/>
    <w:rsid w:val="00DD1F32"/>
    <w:rsid w:val="00DD591F"/>
    <w:rsid w:val="00DE1FE2"/>
    <w:rsid w:val="00DE5606"/>
    <w:rsid w:val="00DE79D3"/>
    <w:rsid w:val="00DF56E8"/>
    <w:rsid w:val="00E00FD8"/>
    <w:rsid w:val="00E03050"/>
    <w:rsid w:val="00E03FFF"/>
    <w:rsid w:val="00E04A98"/>
    <w:rsid w:val="00E057D1"/>
    <w:rsid w:val="00E15271"/>
    <w:rsid w:val="00E168FA"/>
    <w:rsid w:val="00E1762D"/>
    <w:rsid w:val="00E176CA"/>
    <w:rsid w:val="00E21C90"/>
    <w:rsid w:val="00E314FB"/>
    <w:rsid w:val="00E3198B"/>
    <w:rsid w:val="00E34306"/>
    <w:rsid w:val="00E35F89"/>
    <w:rsid w:val="00E46584"/>
    <w:rsid w:val="00E4750D"/>
    <w:rsid w:val="00E51F3A"/>
    <w:rsid w:val="00E52812"/>
    <w:rsid w:val="00E54799"/>
    <w:rsid w:val="00E55DCB"/>
    <w:rsid w:val="00E61A0E"/>
    <w:rsid w:val="00E62D20"/>
    <w:rsid w:val="00E6347E"/>
    <w:rsid w:val="00E70240"/>
    <w:rsid w:val="00E720F4"/>
    <w:rsid w:val="00E72F05"/>
    <w:rsid w:val="00E75920"/>
    <w:rsid w:val="00E8440D"/>
    <w:rsid w:val="00E859F5"/>
    <w:rsid w:val="00E87099"/>
    <w:rsid w:val="00EA7F5E"/>
    <w:rsid w:val="00EB4E53"/>
    <w:rsid w:val="00EB5820"/>
    <w:rsid w:val="00EB6A4E"/>
    <w:rsid w:val="00EC1811"/>
    <w:rsid w:val="00EC1D79"/>
    <w:rsid w:val="00EC30E6"/>
    <w:rsid w:val="00EC59A1"/>
    <w:rsid w:val="00ED3DDF"/>
    <w:rsid w:val="00EE141E"/>
    <w:rsid w:val="00EE18DD"/>
    <w:rsid w:val="00EE2630"/>
    <w:rsid w:val="00EE3D42"/>
    <w:rsid w:val="00EE3DF2"/>
    <w:rsid w:val="00EE7AB8"/>
    <w:rsid w:val="00EF3170"/>
    <w:rsid w:val="00EF3D40"/>
    <w:rsid w:val="00EF4DB7"/>
    <w:rsid w:val="00EF6129"/>
    <w:rsid w:val="00F059A9"/>
    <w:rsid w:val="00F07679"/>
    <w:rsid w:val="00F10D03"/>
    <w:rsid w:val="00F1214C"/>
    <w:rsid w:val="00F1305D"/>
    <w:rsid w:val="00F15A3A"/>
    <w:rsid w:val="00F1764A"/>
    <w:rsid w:val="00F21F7A"/>
    <w:rsid w:val="00F26CFB"/>
    <w:rsid w:val="00F334B2"/>
    <w:rsid w:val="00F40280"/>
    <w:rsid w:val="00F4465B"/>
    <w:rsid w:val="00F4563C"/>
    <w:rsid w:val="00F537CF"/>
    <w:rsid w:val="00F55757"/>
    <w:rsid w:val="00F563AD"/>
    <w:rsid w:val="00F60384"/>
    <w:rsid w:val="00F64267"/>
    <w:rsid w:val="00F754AE"/>
    <w:rsid w:val="00F823E6"/>
    <w:rsid w:val="00F90952"/>
    <w:rsid w:val="00F97025"/>
    <w:rsid w:val="00F9740C"/>
    <w:rsid w:val="00F9743E"/>
    <w:rsid w:val="00FA37AF"/>
    <w:rsid w:val="00FA45CD"/>
    <w:rsid w:val="00FA7760"/>
    <w:rsid w:val="00FB1E76"/>
    <w:rsid w:val="00FB45A2"/>
    <w:rsid w:val="00FB6587"/>
    <w:rsid w:val="00FC53AF"/>
    <w:rsid w:val="00FC7B4F"/>
    <w:rsid w:val="00FD3EF0"/>
    <w:rsid w:val="00FD657E"/>
    <w:rsid w:val="00FE0060"/>
    <w:rsid w:val="00FE5958"/>
    <w:rsid w:val="00FE7232"/>
    <w:rsid w:val="00FF0B83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paragraph" w:customStyle="1" w:styleId="Default">
    <w:name w:val="Default"/>
    <w:rsid w:val="00C5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s">
    <w:name w:val="cfs"/>
    <w:rsid w:val="009324F6"/>
  </w:style>
  <w:style w:type="paragraph" w:customStyle="1" w:styleId="ConsPlusNormal">
    <w:name w:val="ConsPlusNormal"/>
    <w:rsid w:val="00225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4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link w:val="2"/>
    <w:locked/>
    <w:rsid w:val="00C27E8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27E8D"/>
    <w:pPr>
      <w:shd w:val="clear" w:color="auto" w:fill="FFFFFF"/>
      <w:spacing w:before="720" w:after="720" w:line="0" w:lineRule="atLeast"/>
    </w:pPr>
    <w:rPr>
      <w:sz w:val="26"/>
      <w:szCs w:val="26"/>
    </w:rPr>
  </w:style>
  <w:style w:type="paragraph" w:customStyle="1" w:styleId="ConsPlusJurTerm">
    <w:name w:val="ConsPlusJurTerm"/>
    <w:uiPriority w:val="99"/>
    <w:rsid w:val="006E721C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rsid w:val="00007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07262"/>
    <w:rPr>
      <w:sz w:val="24"/>
      <w:szCs w:val="24"/>
    </w:rPr>
  </w:style>
  <w:style w:type="paragraph" w:styleId="a9">
    <w:name w:val="Balloon Text"/>
    <w:basedOn w:val="a"/>
    <w:link w:val="aa"/>
    <w:rsid w:val="00007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07262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B81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paragraph" w:customStyle="1" w:styleId="Default">
    <w:name w:val="Default"/>
    <w:rsid w:val="00C5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s">
    <w:name w:val="cfs"/>
    <w:rsid w:val="009324F6"/>
  </w:style>
  <w:style w:type="paragraph" w:customStyle="1" w:styleId="ConsPlusNormal">
    <w:name w:val="ConsPlusNormal"/>
    <w:rsid w:val="00225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4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link w:val="2"/>
    <w:locked/>
    <w:rsid w:val="00C27E8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27E8D"/>
    <w:pPr>
      <w:shd w:val="clear" w:color="auto" w:fill="FFFFFF"/>
      <w:spacing w:before="720" w:after="720" w:line="0" w:lineRule="atLeast"/>
    </w:pPr>
    <w:rPr>
      <w:sz w:val="26"/>
      <w:szCs w:val="26"/>
    </w:rPr>
  </w:style>
  <w:style w:type="paragraph" w:customStyle="1" w:styleId="ConsPlusJurTerm">
    <w:name w:val="ConsPlusJurTerm"/>
    <w:uiPriority w:val="99"/>
    <w:rsid w:val="006E721C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rsid w:val="00007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07262"/>
    <w:rPr>
      <w:sz w:val="24"/>
      <w:szCs w:val="24"/>
    </w:rPr>
  </w:style>
  <w:style w:type="paragraph" w:styleId="a9">
    <w:name w:val="Balloon Text"/>
    <w:basedOn w:val="a"/>
    <w:link w:val="aa"/>
    <w:rsid w:val="00007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07262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B81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8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4C20F-8247-4C6B-8A43-C7CA4954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5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</Company>
  <LinksUpToDate>false</LinksUpToDate>
  <CharactersWithSpaces>11814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sysadminus</dc:creator>
  <cp:lastModifiedBy>Юрченко Константин Борисович</cp:lastModifiedBy>
  <cp:revision>10</cp:revision>
  <cp:lastPrinted>2018-05-03T11:04:00Z</cp:lastPrinted>
  <dcterms:created xsi:type="dcterms:W3CDTF">2018-04-28T10:29:00Z</dcterms:created>
  <dcterms:modified xsi:type="dcterms:W3CDTF">2018-05-07T12:51:00Z</dcterms:modified>
</cp:coreProperties>
</file>