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6" w:rsidRPr="00DF7861" w:rsidRDefault="00C84BF6" w:rsidP="00DF7861">
      <w:pPr>
        <w:rPr>
          <w:b/>
          <w:sz w:val="28"/>
          <w:szCs w:val="26"/>
        </w:rPr>
      </w:pPr>
      <w:r>
        <w:rPr>
          <w:b/>
          <w:sz w:val="28"/>
          <w:szCs w:val="26"/>
        </w:rPr>
        <w:t>№ </w:t>
      </w:r>
      <w:r w:rsidRPr="00DF7861">
        <w:rPr>
          <w:b/>
          <w:sz w:val="28"/>
          <w:szCs w:val="26"/>
        </w:rPr>
        <w:t>12338-ОФ</w:t>
      </w:r>
      <w:r>
        <w:rPr>
          <w:b/>
          <w:sz w:val="28"/>
          <w:szCs w:val="26"/>
        </w:rPr>
        <w:t>/</w:t>
      </w:r>
      <w:r w:rsidRPr="00DF7861">
        <w:rPr>
          <w:b/>
          <w:sz w:val="28"/>
          <w:szCs w:val="26"/>
        </w:rPr>
        <w:t>Д26и</w:t>
      </w:r>
      <w:r>
        <w:rPr>
          <w:b/>
          <w:sz w:val="28"/>
          <w:szCs w:val="26"/>
        </w:rPr>
        <w:t xml:space="preserve"> от 05.05.2017</w:t>
      </w:r>
    </w:p>
    <w:p w:rsidR="00C84BF6" w:rsidRPr="00592850" w:rsidRDefault="00C84BF6" w:rsidP="00EB7604">
      <w:pPr>
        <w:ind w:left="6381" w:firstLine="709"/>
        <w:jc w:val="center"/>
        <w:rPr>
          <w:sz w:val="26"/>
          <w:szCs w:val="26"/>
        </w:rPr>
      </w:pPr>
    </w:p>
    <w:p w:rsidR="00C84BF6" w:rsidRPr="00905B82" w:rsidRDefault="00C84BF6" w:rsidP="00130601">
      <w:pPr>
        <w:ind w:left="7088"/>
        <w:jc w:val="center"/>
        <w:rPr>
          <w:sz w:val="26"/>
          <w:szCs w:val="26"/>
        </w:rPr>
      </w:pPr>
      <w:r w:rsidRPr="00905B82">
        <w:rPr>
          <w:sz w:val="26"/>
          <w:szCs w:val="26"/>
        </w:rPr>
        <w:t>Министерство финансов Российской Федерации</w:t>
      </w:r>
    </w:p>
    <w:p w:rsidR="00C84BF6" w:rsidRPr="0063660C" w:rsidRDefault="00C84BF6" w:rsidP="006626B7">
      <w:pPr>
        <w:rPr>
          <w:sz w:val="30"/>
          <w:szCs w:val="30"/>
        </w:rPr>
      </w:pPr>
    </w:p>
    <w:p w:rsidR="00C84BF6" w:rsidRPr="004E3591" w:rsidRDefault="00C84BF6" w:rsidP="006626B7">
      <w:pPr>
        <w:rPr>
          <w:sz w:val="28"/>
          <w:szCs w:val="28"/>
        </w:rPr>
      </w:pPr>
    </w:p>
    <w:p w:rsidR="00C84BF6" w:rsidRPr="00DF7861" w:rsidRDefault="00C84BF6" w:rsidP="006626B7">
      <w:pPr>
        <w:rPr>
          <w:sz w:val="28"/>
          <w:szCs w:val="28"/>
          <w:highlight w:val="yellow"/>
        </w:rPr>
      </w:pPr>
    </w:p>
    <w:p w:rsidR="00C84BF6" w:rsidRPr="00DF7861" w:rsidRDefault="00C84BF6" w:rsidP="006626B7">
      <w:pPr>
        <w:rPr>
          <w:sz w:val="28"/>
          <w:szCs w:val="28"/>
          <w:highlight w:val="yellow"/>
        </w:rPr>
      </w:pPr>
    </w:p>
    <w:p w:rsidR="00C84BF6" w:rsidRPr="00DF7861" w:rsidRDefault="00C84BF6" w:rsidP="006626B7">
      <w:pPr>
        <w:rPr>
          <w:sz w:val="28"/>
          <w:szCs w:val="28"/>
          <w:highlight w:val="yellow"/>
        </w:rPr>
      </w:pPr>
    </w:p>
    <w:p w:rsidR="00C84BF6" w:rsidRPr="004E3591" w:rsidRDefault="00C84BF6" w:rsidP="006626B7">
      <w:pPr>
        <w:rPr>
          <w:sz w:val="28"/>
          <w:szCs w:val="28"/>
          <w:highlight w:val="yellow"/>
        </w:rPr>
      </w:pPr>
    </w:p>
    <w:p w:rsidR="00C84BF6" w:rsidRDefault="00C84BF6" w:rsidP="006626B7">
      <w:pPr>
        <w:rPr>
          <w:sz w:val="28"/>
          <w:szCs w:val="28"/>
          <w:highlight w:val="yellow"/>
        </w:rPr>
      </w:pPr>
    </w:p>
    <w:p w:rsidR="00C84BF6" w:rsidRDefault="00C84BF6" w:rsidP="006626B7">
      <w:pPr>
        <w:rPr>
          <w:sz w:val="28"/>
          <w:szCs w:val="28"/>
          <w:highlight w:val="yellow"/>
        </w:rPr>
      </w:pPr>
    </w:p>
    <w:p w:rsidR="00C84BF6" w:rsidRDefault="00C84BF6" w:rsidP="006626B7">
      <w:pPr>
        <w:rPr>
          <w:sz w:val="28"/>
          <w:szCs w:val="28"/>
          <w:highlight w:val="yellow"/>
        </w:rPr>
      </w:pPr>
    </w:p>
    <w:p w:rsidR="00C84BF6" w:rsidRDefault="00C84BF6" w:rsidP="006626B7">
      <w:pPr>
        <w:rPr>
          <w:sz w:val="28"/>
          <w:szCs w:val="28"/>
          <w:highlight w:val="yellow"/>
        </w:rPr>
      </w:pPr>
    </w:p>
    <w:tbl>
      <w:tblPr>
        <w:tblW w:w="4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C84BF6" w:rsidRPr="00343186" w:rsidTr="001A5B30">
        <w:trPr>
          <w:trHeight w:val="549"/>
        </w:trPr>
        <w:tc>
          <w:tcPr>
            <w:tcW w:w="4928" w:type="dxa"/>
          </w:tcPr>
          <w:p w:rsidR="00C84BF6" w:rsidRPr="00343186" w:rsidRDefault="00C84BF6" w:rsidP="0057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186">
              <w:rPr>
                <w:sz w:val="26"/>
                <w:szCs w:val="26"/>
              </w:rPr>
              <w:t xml:space="preserve">О проведении оценки регулирующего воздействия проекта </w:t>
            </w:r>
            <w:r w:rsidRPr="001A5B30">
              <w:rPr>
                <w:sz w:val="26"/>
                <w:szCs w:val="26"/>
              </w:rPr>
              <w:t>постановления Правительства Российской Федерации</w:t>
            </w:r>
          </w:p>
        </w:tc>
      </w:tr>
      <w:tr w:rsidR="00C84BF6" w:rsidRPr="00343186" w:rsidTr="001A5B30">
        <w:trPr>
          <w:trHeight w:val="467"/>
        </w:trPr>
        <w:tc>
          <w:tcPr>
            <w:tcW w:w="4928" w:type="dxa"/>
          </w:tcPr>
          <w:p w:rsidR="00C84BF6" w:rsidRPr="00343186" w:rsidRDefault="00C84BF6" w:rsidP="001A5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186">
              <w:rPr>
                <w:sz w:val="26"/>
                <w:szCs w:val="26"/>
              </w:rPr>
              <w:t xml:space="preserve">На </w:t>
            </w:r>
            <w:r w:rsidRPr="001A5B30">
              <w:rPr>
                <w:sz w:val="26"/>
                <w:szCs w:val="26"/>
              </w:rPr>
              <w:t>№ </w:t>
            </w:r>
            <w:r w:rsidRPr="001A5B30">
              <w:rPr>
                <w:sz w:val="26"/>
                <w:szCs w:val="26"/>
                <w:lang w:eastAsia="en-US"/>
              </w:rPr>
              <w:t>03-13-06/21800</w:t>
            </w:r>
            <w:r w:rsidRPr="00156FFC">
              <w:rPr>
                <w:sz w:val="28"/>
                <w:szCs w:val="28"/>
                <w:lang w:eastAsia="en-US"/>
              </w:rPr>
              <w:t xml:space="preserve"> </w:t>
            </w:r>
            <w:r w:rsidRPr="00343186">
              <w:rPr>
                <w:sz w:val="26"/>
                <w:szCs w:val="26"/>
              </w:rPr>
              <w:t>от 1</w:t>
            </w:r>
            <w:r>
              <w:rPr>
                <w:sz w:val="26"/>
                <w:szCs w:val="26"/>
              </w:rPr>
              <w:t>2</w:t>
            </w:r>
            <w:r w:rsidRPr="003431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Pr="00343186">
              <w:rPr>
                <w:sz w:val="26"/>
                <w:szCs w:val="26"/>
              </w:rPr>
              <w:t xml:space="preserve"> 2017 г.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43186">
              <w:rPr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43186">
              <w:rPr>
                <w:sz w:val="26"/>
                <w:szCs w:val="26"/>
              </w:rPr>
              <w:instrText xml:space="preserve"> FORMTEXT </w:instrText>
            </w:r>
            <w:r w:rsidRPr="00343186">
              <w:rPr>
                <w:sz w:val="26"/>
                <w:szCs w:val="26"/>
              </w:rPr>
            </w:r>
            <w:r w:rsidRPr="00343186">
              <w:rPr>
                <w:sz w:val="26"/>
                <w:szCs w:val="26"/>
              </w:rPr>
              <w:fldChar w:fldCharType="end"/>
            </w:r>
          </w:p>
        </w:tc>
      </w:tr>
    </w:tbl>
    <w:p w:rsidR="00C84BF6" w:rsidRPr="0063660C" w:rsidRDefault="00C84BF6" w:rsidP="003C5685">
      <w:pPr>
        <w:jc w:val="center"/>
        <w:rPr>
          <w:sz w:val="20"/>
          <w:szCs w:val="26"/>
        </w:rPr>
      </w:pPr>
    </w:p>
    <w:p w:rsidR="00C84BF6" w:rsidRPr="00A97DEC" w:rsidRDefault="00C84BF6" w:rsidP="003C5685">
      <w:pPr>
        <w:jc w:val="center"/>
        <w:rPr>
          <w:sz w:val="18"/>
          <w:szCs w:val="26"/>
        </w:rPr>
      </w:pPr>
    </w:p>
    <w:p w:rsidR="00C84BF6" w:rsidRPr="00343186" w:rsidRDefault="00C84BF6" w:rsidP="007468DC">
      <w:pPr>
        <w:widowControl w:val="0"/>
        <w:spacing w:after="120"/>
        <w:jc w:val="center"/>
        <w:rPr>
          <w:sz w:val="26"/>
          <w:szCs w:val="26"/>
        </w:rPr>
      </w:pPr>
      <w:r w:rsidRPr="00343186">
        <w:rPr>
          <w:sz w:val="26"/>
          <w:szCs w:val="26"/>
        </w:rPr>
        <w:t>ЗАКЛЮЧЕНИЕ</w:t>
      </w:r>
    </w:p>
    <w:p w:rsidR="00C84BF6" w:rsidRPr="00E35840" w:rsidRDefault="00C84BF6" w:rsidP="00B56792">
      <w:pPr>
        <w:widowControl w:val="0"/>
        <w:jc w:val="center"/>
        <w:rPr>
          <w:sz w:val="26"/>
          <w:szCs w:val="26"/>
          <w:lang w:eastAsia="en-US"/>
        </w:rPr>
      </w:pPr>
      <w:r w:rsidRPr="00343186">
        <w:rPr>
          <w:sz w:val="26"/>
          <w:szCs w:val="26"/>
          <w:lang w:eastAsia="en-US"/>
        </w:rPr>
        <w:t xml:space="preserve">об </w:t>
      </w:r>
      <w:r w:rsidRPr="00E35840">
        <w:rPr>
          <w:sz w:val="26"/>
          <w:szCs w:val="26"/>
          <w:lang w:eastAsia="en-US"/>
        </w:rPr>
        <w:t>оценке регулирующего воздействия</w:t>
      </w:r>
    </w:p>
    <w:p w:rsidR="00C84BF6" w:rsidRPr="001A5B30" w:rsidRDefault="00C84BF6" w:rsidP="00343186">
      <w:pPr>
        <w:widowControl w:val="0"/>
        <w:spacing w:after="240"/>
        <w:jc w:val="center"/>
        <w:rPr>
          <w:sz w:val="26"/>
          <w:szCs w:val="26"/>
          <w:highlight w:val="yellow"/>
          <w:lang w:eastAsia="en-US"/>
        </w:rPr>
      </w:pPr>
      <w:r w:rsidRPr="00E35840">
        <w:rPr>
          <w:sz w:val="26"/>
          <w:szCs w:val="26"/>
          <w:lang w:eastAsia="en-US"/>
        </w:rPr>
        <w:t xml:space="preserve">на </w:t>
      </w:r>
      <w:r w:rsidRPr="00E35840">
        <w:rPr>
          <w:sz w:val="26"/>
          <w:szCs w:val="26"/>
        </w:rPr>
        <w:t>проект постановления Правительства Российской Федерации «Об установлении максимальной суммы одной банковской гарантии и максимальной</w:t>
      </w:r>
      <w:r w:rsidRPr="001A5B30">
        <w:rPr>
          <w:sz w:val="26"/>
          <w:szCs w:val="26"/>
        </w:rPr>
        <w:t xml:space="preserve"> суммы всех одновременно действующих банковских гарантий, выданных одним банком для принятия банковских гарантий налоговыми органами в целях обеспечения уплаты налогов»</w:t>
      </w:r>
    </w:p>
    <w:p w:rsidR="00C84BF6" w:rsidRPr="000554A6" w:rsidRDefault="00C84BF6" w:rsidP="00E358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840">
        <w:rPr>
          <w:rFonts w:ascii="Times New Roman" w:hAnsi="Times New Roman" w:cs="Times New Roman"/>
          <w:sz w:val="26"/>
          <w:szCs w:val="26"/>
        </w:rPr>
        <w:t xml:space="preserve">Минэкономразвития России в соответствии с пунктом 26 </w:t>
      </w:r>
      <w:hyperlink r:id="rId7" w:history="1">
        <w:r w:rsidRPr="00E3584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E35840">
        <w:rPr>
          <w:rFonts w:ascii="Times New Roman" w:hAnsi="Times New Roman" w:cs="Times New Roman"/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 г. № 1318 (далее – Правила проведения оценки регулирующего воздействия), рассмотрело проект постановления Правительства Российской Федерации «Об установлении максимальной суммы одной банковской гарантии и максимальной суммы всех одновременно действующих банковских гарантий, выданных одним банком для принятия банковских гарантий налоговыми органами в целях обеспечения уплаты налогов»</w:t>
      </w:r>
      <w:r w:rsidRPr="001C205A">
        <w:rPr>
          <w:rFonts w:ascii="Times New Roman" w:hAnsi="Times New Roman" w:cs="Times New Roman"/>
          <w:sz w:val="26"/>
          <w:szCs w:val="26"/>
        </w:rPr>
        <w:t xml:space="preserve"> (далее – проект акта), разработанный и направленный для подготовки настоящего заключения Министерством финансов Российской Федерации (далее – разработчик), и сообщает </w:t>
      </w:r>
      <w:r w:rsidRPr="000554A6">
        <w:rPr>
          <w:rFonts w:ascii="Times New Roman" w:hAnsi="Times New Roman" w:cs="Times New Roman"/>
          <w:sz w:val="26"/>
          <w:szCs w:val="26"/>
        </w:rPr>
        <w:t>следующее.</w:t>
      </w:r>
    </w:p>
    <w:p w:rsidR="00C84BF6" w:rsidRPr="005573B2" w:rsidRDefault="00C84BF6" w:rsidP="006707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B2">
        <w:rPr>
          <w:rFonts w:ascii="Times New Roman" w:hAnsi="Times New Roman" w:cs="Times New Roman"/>
          <w:sz w:val="26"/>
          <w:szCs w:val="26"/>
        </w:rPr>
        <w:t>Проект акта направлен разработчиком для подготовки настоящего заключения впервые и разработан в соответствии с пунктом 8.1 статьи 74.1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Кодекс)</w:t>
      </w:r>
      <w:r w:rsidRPr="005573B2">
        <w:rPr>
          <w:rFonts w:ascii="Times New Roman" w:hAnsi="Times New Roman" w:cs="Times New Roman"/>
          <w:sz w:val="26"/>
          <w:szCs w:val="26"/>
        </w:rPr>
        <w:t>.</w:t>
      </w:r>
    </w:p>
    <w:p w:rsidR="00C84BF6" w:rsidRPr="00C44834" w:rsidRDefault="00C84BF6" w:rsidP="006707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34">
        <w:rPr>
          <w:rFonts w:ascii="Times New Roman" w:hAnsi="Times New Roman" w:cs="Times New Roman"/>
          <w:sz w:val="26"/>
          <w:szCs w:val="26"/>
        </w:rPr>
        <w:t>Проектом акта предусматривается установление максимальной суммы одной банковской гарантии и максимальной суммы всех одновременно действующих банковских гарантий, выданных одним банком, для принятия банковских гарантий налоговыми органами в целях обеспечения уплаты налогов, а также ряда критериев, по которым определяются их размеры.</w:t>
      </w:r>
    </w:p>
    <w:p w:rsidR="00C84BF6" w:rsidRDefault="00C84BF6" w:rsidP="006707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44834">
        <w:rPr>
          <w:rFonts w:ascii="Times New Roman" w:hAnsi="Times New Roman" w:cs="Times New Roman"/>
          <w:sz w:val="26"/>
          <w:szCs w:val="26"/>
        </w:rPr>
        <w:t xml:space="preserve">Разработчиком проведено публичное обсуждение уведомления о подготовке проекта акта в сроки с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4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C44834">
        <w:rPr>
          <w:rFonts w:ascii="Times New Roman" w:hAnsi="Times New Roman" w:cs="Times New Roman"/>
          <w:sz w:val="26"/>
          <w:szCs w:val="26"/>
        </w:rPr>
        <w:t xml:space="preserve"> 2016 г. по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4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C44834">
        <w:rPr>
          <w:rFonts w:ascii="Times New Roman" w:hAnsi="Times New Roman" w:cs="Times New Roman"/>
          <w:sz w:val="26"/>
          <w:szCs w:val="26"/>
        </w:rPr>
        <w:t xml:space="preserve"> 2016 г., а также проекта акта и сводного отчета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C44834">
        <w:rPr>
          <w:rFonts w:ascii="Times New Roman" w:hAnsi="Times New Roman" w:cs="Times New Roman"/>
          <w:sz w:val="26"/>
          <w:szCs w:val="26"/>
        </w:rPr>
        <w:t xml:space="preserve">в сроки с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44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44834">
        <w:rPr>
          <w:rFonts w:ascii="Times New Roman" w:hAnsi="Times New Roman" w:cs="Times New Roman"/>
          <w:sz w:val="26"/>
          <w:szCs w:val="26"/>
        </w:rPr>
        <w:t xml:space="preserve"> 2016 г. по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44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C44834">
        <w:rPr>
          <w:rFonts w:ascii="Times New Roman" w:hAnsi="Times New Roman" w:cs="Times New Roman"/>
          <w:sz w:val="26"/>
          <w:szCs w:val="26"/>
        </w:rPr>
        <w:t xml:space="preserve"> 2016 года. Проект акта размещен разработчиком на официальном сайте regulation.gov.ru в информационно-телекоммуникационной сети «Интернет» по адресу: regulation.gov.ru/p/</w:t>
      </w:r>
      <w:r>
        <w:rPr>
          <w:rFonts w:ascii="Times New Roman" w:hAnsi="Times New Roman" w:cs="Times New Roman"/>
          <w:sz w:val="26"/>
          <w:szCs w:val="26"/>
        </w:rPr>
        <w:t>50057</w:t>
      </w:r>
      <w:r w:rsidRPr="00C44834">
        <w:rPr>
          <w:rFonts w:ascii="Times New Roman" w:hAnsi="Times New Roman" w:cs="Times New Roman"/>
          <w:sz w:val="26"/>
          <w:szCs w:val="26"/>
        </w:rPr>
        <w:t xml:space="preserve"> (ID проекта: 02/0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483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C44834">
        <w:rPr>
          <w:rFonts w:ascii="Times New Roman" w:hAnsi="Times New Roman" w:cs="Times New Roman"/>
          <w:sz w:val="26"/>
          <w:szCs w:val="26"/>
        </w:rPr>
        <w:t>-16/000</w:t>
      </w:r>
      <w:r>
        <w:rPr>
          <w:rFonts w:ascii="Times New Roman" w:hAnsi="Times New Roman" w:cs="Times New Roman"/>
          <w:sz w:val="26"/>
          <w:szCs w:val="26"/>
        </w:rPr>
        <w:t>5005</w:t>
      </w:r>
      <w:r w:rsidRPr="00C44834">
        <w:rPr>
          <w:rFonts w:ascii="Times New Roman" w:hAnsi="Times New Roman" w:cs="Times New Roman"/>
          <w:sz w:val="26"/>
          <w:szCs w:val="26"/>
        </w:rPr>
        <w:t xml:space="preserve">7). </w:t>
      </w:r>
      <w:r>
        <w:rPr>
          <w:rFonts w:ascii="Times New Roman" w:hAnsi="Times New Roman" w:cs="Times New Roman"/>
          <w:sz w:val="26"/>
          <w:szCs w:val="26"/>
        </w:rPr>
        <w:br/>
      </w:r>
      <w:r w:rsidRPr="00C44834">
        <w:rPr>
          <w:rFonts w:ascii="Times New Roman" w:hAnsi="Times New Roman"/>
          <w:sz w:val="26"/>
          <w:szCs w:val="26"/>
          <w:lang w:eastAsia="en-US"/>
        </w:rPr>
        <w:t xml:space="preserve">По информации разработчика, замечания </w:t>
      </w:r>
      <w:r w:rsidRPr="00C44834">
        <w:rPr>
          <w:rFonts w:ascii="Times New Roman" w:hAnsi="Times New Roman" w:cs="Times New Roman"/>
          <w:sz w:val="26"/>
          <w:szCs w:val="26"/>
        </w:rPr>
        <w:t xml:space="preserve">и предложения на этапе уведомления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C44834">
        <w:rPr>
          <w:rFonts w:ascii="Times New Roman" w:hAnsi="Times New Roman" w:cs="Times New Roman"/>
          <w:sz w:val="26"/>
          <w:szCs w:val="26"/>
        </w:rPr>
        <w:t>о подготовке проекта акта не поступали. По результатам публичного обсуждения проекта акта и сводного отчета замечания и предложения поступили от гр. И.И. Водолеева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96DD7">
        <w:rPr>
          <w:rFonts w:ascii="Times New Roman" w:hAnsi="Times New Roman" w:cs="Times New Roman"/>
          <w:sz w:val="26"/>
          <w:szCs w:val="26"/>
          <w:lang w:eastAsia="en-US"/>
        </w:rPr>
        <w:t>Представленные указанным участник</w:t>
      </w:r>
      <w:r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Pr="00C96DD7">
        <w:rPr>
          <w:rFonts w:ascii="Times New Roman" w:hAnsi="Times New Roman" w:cs="Times New Roman"/>
          <w:sz w:val="26"/>
          <w:szCs w:val="26"/>
          <w:lang w:eastAsia="en-US"/>
        </w:rPr>
        <w:t xml:space="preserve"> публичных обсуждений замечания и предложения включены разработчиком в сводку замечаний и предложений, в которой указаны сведения 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96DD7">
        <w:rPr>
          <w:rFonts w:ascii="Times New Roman" w:hAnsi="Times New Roman" w:cs="Times New Roman"/>
          <w:sz w:val="26"/>
          <w:szCs w:val="26"/>
          <w:lang w:eastAsia="en-US"/>
        </w:rPr>
        <w:t>причинах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их</w:t>
      </w:r>
      <w:r w:rsidRPr="00C96DD7">
        <w:rPr>
          <w:rFonts w:ascii="Times New Roman" w:hAnsi="Times New Roman" w:cs="Times New Roman"/>
          <w:sz w:val="26"/>
          <w:szCs w:val="26"/>
          <w:lang w:eastAsia="en-US"/>
        </w:rPr>
        <w:t xml:space="preserve"> отклонения.</w:t>
      </w:r>
    </w:p>
    <w:p w:rsidR="00C84BF6" w:rsidRDefault="00C84BF6" w:rsidP="00F0652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26">
        <w:rPr>
          <w:rFonts w:ascii="Times New Roman" w:hAnsi="Times New Roman" w:cs="Times New Roman"/>
          <w:sz w:val="26"/>
          <w:szCs w:val="26"/>
        </w:rPr>
        <w:t xml:space="preserve">В целях подготовки настоящего заключения в соответствии с пунктом 28 Правил </w:t>
      </w:r>
      <w:r w:rsidRPr="007E24E3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Минэкономразвития России в срок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7E24E3">
        <w:rPr>
          <w:rFonts w:ascii="Times New Roman" w:hAnsi="Times New Roman" w:cs="Times New Roman"/>
          <w:sz w:val="26"/>
          <w:szCs w:val="26"/>
        </w:rPr>
        <w:t xml:space="preserve">с 14 по 21 апреля 2017 г. были проведены публичные консультации по проекту акта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7E24E3">
        <w:rPr>
          <w:rFonts w:ascii="Times New Roman" w:hAnsi="Times New Roman" w:cs="Times New Roman"/>
          <w:sz w:val="26"/>
          <w:szCs w:val="26"/>
        </w:rPr>
        <w:t xml:space="preserve">и сводному отчету с субъектами предпринимательской деятельности, подпадающими </w:t>
      </w:r>
      <w:r w:rsidRPr="007E24E3">
        <w:rPr>
          <w:rFonts w:ascii="Times New Roman" w:hAnsi="Times New Roman" w:cs="Times New Roman"/>
          <w:sz w:val="26"/>
          <w:szCs w:val="26"/>
        </w:rPr>
        <w:br/>
        <w:t xml:space="preserve">под действие предлагаемого проектом акта регулирования. По результатам публичных консультаций были получены в целом положительные отзывы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44834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AA468A">
        <w:rPr>
          <w:rFonts w:ascii="Times New Roman" w:hAnsi="Times New Roman" w:cs="Times New Roman"/>
          <w:sz w:val="26"/>
          <w:szCs w:val="26"/>
        </w:rPr>
        <w:t xml:space="preserve">компании «Российские автомобильные дороги», Государственной корпорации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A468A">
        <w:rPr>
          <w:rFonts w:ascii="Times New Roman" w:hAnsi="Times New Roman" w:cs="Times New Roman"/>
          <w:sz w:val="26"/>
          <w:szCs w:val="26"/>
        </w:rPr>
        <w:t>«Ростех», Банка «Левобережный» (ПАО), АО «Россельхозбанк», Всероссийского союза страховщиков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625D">
        <w:rPr>
          <w:rFonts w:ascii="Times New Roman" w:hAnsi="Times New Roman" w:cs="Times New Roman"/>
          <w:sz w:val="26"/>
          <w:szCs w:val="26"/>
        </w:rPr>
        <w:t>АО «Зарубежнефть»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71C4">
        <w:rPr>
          <w:rFonts w:ascii="Times New Roman" w:hAnsi="Times New Roman" w:cs="Times New Roman"/>
          <w:sz w:val="26"/>
          <w:szCs w:val="26"/>
        </w:rPr>
        <w:t>Госкорпорация «Росатом»,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6301">
        <w:rPr>
          <w:rFonts w:ascii="Times New Roman" w:hAnsi="Times New Roman" w:cs="Times New Roman"/>
          <w:sz w:val="26"/>
          <w:szCs w:val="26"/>
        </w:rPr>
        <w:t xml:space="preserve">АО «Мосводоканал», </w:t>
      </w:r>
      <w:r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316301">
        <w:rPr>
          <w:rFonts w:ascii="Times New Roman" w:hAnsi="Times New Roman" w:cs="Times New Roman"/>
          <w:sz w:val="26"/>
          <w:szCs w:val="26"/>
        </w:rPr>
        <w:t>ПАО «Россети»,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7E15">
        <w:rPr>
          <w:rFonts w:ascii="Times New Roman" w:hAnsi="Times New Roman" w:cs="Times New Roman"/>
          <w:sz w:val="26"/>
          <w:szCs w:val="26"/>
        </w:rPr>
        <w:t>а также замечания и предложения от ПАО</w:t>
      </w:r>
      <w:r>
        <w:rPr>
          <w:rFonts w:ascii="Times New Roman" w:hAnsi="Times New Roman" w:cs="Times New Roman"/>
          <w:sz w:val="26"/>
          <w:szCs w:val="26"/>
        </w:rPr>
        <w:t> АКБ </w:t>
      </w:r>
      <w:r w:rsidRPr="0092618B">
        <w:rPr>
          <w:rFonts w:ascii="Times New Roman" w:hAnsi="Times New Roman" w:cs="Times New Roman"/>
          <w:sz w:val="26"/>
          <w:szCs w:val="26"/>
        </w:rPr>
        <w:t>«Связь-Банк»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822707">
        <w:rPr>
          <w:rFonts w:ascii="Times New Roman" w:hAnsi="Times New Roman" w:cs="Times New Roman"/>
          <w:sz w:val="26"/>
          <w:szCs w:val="26"/>
        </w:rPr>
        <w:t>«БНП ПАРИБА БАНК» (АО)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1B7E15">
        <w:rPr>
          <w:rFonts w:ascii="Times New Roman" w:hAnsi="Times New Roman" w:cs="Times New Roman"/>
          <w:sz w:val="26"/>
          <w:szCs w:val="26"/>
        </w:rPr>
        <w:t>АЛЬФА-БАНК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B7E15">
        <w:rPr>
          <w:rFonts w:ascii="Times New Roman" w:hAnsi="Times New Roman" w:cs="Times New Roman"/>
          <w:sz w:val="26"/>
          <w:szCs w:val="26"/>
        </w:rPr>
        <w:t xml:space="preserve"> (АО)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7A09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 w:cs="Times New Roman"/>
          <w:sz w:val="26"/>
          <w:szCs w:val="26"/>
        </w:rPr>
        <w:t>, ОАО </w:t>
      </w:r>
      <w:r w:rsidRPr="00EC7600">
        <w:rPr>
          <w:rFonts w:ascii="Times New Roman" w:hAnsi="Times New Roman" w:cs="Times New Roman"/>
          <w:sz w:val="26"/>
          <w:szCs w:val="26"/>
        </w:rPr>
        <w:t>«Российские железные дороги»</w:t>
      </w:r>
      <w:r>
        <w:rPr>
          <w:rFonts w:ascii="Times New Roman" w:hAnsi="Times New Roman" w:cs="Times New Roman"/>
          <w:sz w:val="26"/>
          <w:szCs w:val="26"/>
        </w:rPr>
        <w:t xml:space="preserve">, ПАО «Интер РАО», </w:t>
      </w:r>
      <w:r w:rsidRPr="009B4B8A">
        <w:rPr>
          <w:rFonts w:ascii="Times New Roman" w:hAnsi="Times New Roman" w:cs="Times New Roman"/>
          <w:sz w:val="26"/>
          <w:szCs w:val="26"/>
        </w:rPr>
        <w:t>«Газпромбанк» (АО)</w:t>
      </w:r>
      <w:r>
        <w:rPr>
          <w:rFonts w:ascii="Times New Roman" w:hAnsi="Times New Roman" w:cs="Times New Roman"/>
          <w:sz w:val="26"/>
          <w:szCs w:val="26"/>
        </w:rPr>
        <w:t xml:space="preserve">, ПАО АКБ «АВАНГАРД», Банка СОЮЗ (АО), </w:t>
      </w:r>
      <w:r w:rsidRPr="0097129A">
        <w:rPr>
          <w:rFonts w:ascii="Times New Roman" w:hAnsi="Times New Roman" w:cs="Times New Roman"/>
          <w:sz w:val="26"/>
          <w:szCs w:val="26"/>
        </w:rPr>
        <w:t>ОАО «Сургутнефтегаз»</w:t>
      </w:r>
      <w:r>
        <w:rPr>
          <w:rFonts w:ascii="Times New Roman" w:hAnsi="Times New Roman" w:cs="Times New Roman"/>
          <w:sz w:val="26"/>
          <w:szCs w:val="26"/>
        </w:rPr>
        <w:t>, ПАО </w:t>
      </w:r>
      <w:r w:rsidRPr="008C5F34">
        <w:rPr>
          <w:rFonts w:ascii="Times New Roman" w:hAnsi="Times New Roman" w:cs="Times New Roman"/>
          <w:sz w:val="26"/>
          <w:szCs w:val="26"/>
        </w:rPr>
        <w:t>«Банк «Санкт-Петербург»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424F">
        <w:rPr>
          <w:rFonts w:ascii="Times New Roman" w:hAnsi="Times New Roman" w:cs="Times New Roman"/>
          <w:sz w:val="26"/>
          <w:szCs w:val="26"/>
        </w:rPr>
        <w:t>КБ «Кубань Кредит» (ООО)</w:t>
      </w:r>
      <w:r>
        <w:rPr>
          <w:rFonts w:ascii="Times New Roman" w:hAnsi="Times New Roman" w:cs="Times New Roman"/>
          <w:sz w:val="26"/>
          <w:szCs w:val="26"/>
        </w:rPr>
        <w:t>, ПАО </w:t>
      </w:r>
      <w:r w:rsidRPr="00324A2F">
        <w:rPr>
          <w:rFonts w:ascii="Times New Roman" w:hAnsi="Times New Roman" w:cs="Times New Roman"/>
          <w:sz w:val="26"/>
          <w:szCs w:val="26"/>
        </w:rPr>
        <w:t>«ФСК ЕЭС»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D05D3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«Деловая Россия»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D05D3">
        <w:rPr>
          <w:rFonts w:ascii="Times New Roman" w:hAnsi="Times New Roman" w:cs="Times New Roman"/>
          <w:sz w:val="26"/>
          <w:szCs w:val="26"/>
        </w:rPr>
        <w:t>Ассоциации международных автомобильных</w:t>
      </w:r>
      <w:r w:rsidRPr="003D1972">
        <w:rPr>
          <w:rFonts w:ascii="Times New Roman" w:hAnsi="Times New Roman" w:cs="Times New Roman"/>
          <w:sz w:val="26"/>
          <w:szCs w:val="26"/>
        </w:rPr>
        <w:t xml:space="preserve"> перевозчиков (АСМАП),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3FA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13FA">
        <w:rPr>
          <w:rFonts w:ascii="Times New Roman" w:hAnsi="Times New Roman" w:cs="Times New Roman"/>
          <w:sz w:val="26"/>
          <w:szCs w:val="26"/>
        </w:rPr>
        <w:t>«АЛРОСА»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413FA">
        <w:rPr>
          <w:rFonts w:ascii="Times New Roman" w:hAnsi="Times New Roman" w:cs="Times New Roman"/>
          <w:sz w:val="26"/>
          <w:szCs w:val="26"/>
        </w:rPr>
        <w:t>(ПАО)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D625D">
        <w:rPr>
          <w:rFonts w:ascii="Times New Roman" w:hAnsi="Times New Roman" w:cs="Times New Roman"/>
          <w:sz w:val="26"/>
          <w:szCs w:val="26"/>
        </w:rPr>
        <w:t>ПАО «Газпром нефть»</w:t>
      </w:r>
      <w:r>
        <w:rPr>
          <w:rFonts w:ascii="Times New Roman" w:hAnsi="Times New Roman" w:cs="Times New Roman"/>
          <w:sz w:val="26"/>
          <w:szCs w:val="26"/>
        </w:rPr>
        <w:t>, АКБ </w:t>
      </w:r>
      <w:r w:rsidRPr="00D14119">
        <w:rPr>
          <w:rFonts w:ascii="Times New Roman" w:hAnsi="Times New Roman" w:cs="Times New Roman"/>
          <w:sz w:val="26"/>
          <w:szCs w:val="26"/>
        </w:rPr>
        <w:t>«РОССИЙСКИЙ КАПИТАЛ»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14119">
        <w:rPr>
          <w:rFonts w:ascii="Times New Roman" w:hAnsi="Times New Roman" w:cs="Times New Roman"/>
          <w:sz w:val="26"/>
          <w:szCs w:val="26"/>
        </w:rPr>
        <w:t>(ПАО)</w:t>
      </w:r>
      <w:r>
        <w:rPr>
          <w:rFonts w:ascii="Times New Roman" w:hAnsi="Times New Roman" w:cs="Times New Roman"/>
          <w:sz w:val="26"/>
          <w:szCs w:val="26"/>
        </w:rPr>
        <w:t xml:space="preserve">, Банк ВТБ (ПАО), </w:t>
      </w:r>
      <w:r w:rsidRPr="0092618B">
        <w:rPr>
          <w:rFonts w:ascii="Times New Roman" w:hAnsi="Times New Roman" w:cs="Times New Roman"/>
          <w:sz w:val="26"/>
          <w:szCs w:val="26"/>
        </w:rPr>
        <w:t>Торгово-промышленной палаты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46874">
        <w:rPr>
          <w:rFonts w:ascii="Times New Roman" w:hAnsi="Times New Roman" w:cs="Times New Roman"/>
          <w:sz w:val="26"/>
          <w:szCs w:val="26"/>
        </w:rPr>
        <w:t xml:space="preserve">Российского союза </w:t>
      </w:r>
      <w:r w:rsidRPr="00D30505">
        <w:rPr>
          <w:rFonts w:ascii="Times New Roman" w:hAnsi="Times New Roman" w:cs="Times New Roman"/>
          <w:sz w:val="26"/>
          <w:szCs w:val="26"/>
        </w:rPr>
        <w:t xml:space="preserve">промышленников и предпринимателей, ПАО «ТРАНСНЕФТЬ», АКБ «Абсолют </w:t>
      </w:r>
      <w:r w:rsidRPr="005971C4">
        <w:rPr>
          <w:rFonts w:ascii="Times New Roman" w:hAnsi="Times New Roman" w:cs="Times New Roman"/>
          <w:sz w:val="26"/>
          <w:szCs w:val="26"/>
        </w:rPr>
        <w:t>Банк» (ПАО)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6301">
        <w:rPr>
          <w:rFonts w:ascii="Times New Roman" w:hAnsi="Times New Roman" w:cs="Times New Roman"/>
          <w:sz w:val="26"/>
          <w:szCs w:val="26"/>
        </w:rPr>
        <w:t>ПАО «НОВАТЭК» и ПАО «Промсвязьбанк».</w:t>
      </w:r>
    </w:p>
    <w:p w:rsidR="00C84BF6" w:rsidRDefault="00C84BF6" w:rsidP="006707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972">
        <w:rPr>
          <w:rFonts w:ascii="Times New Roman" w:hAnsi="Times New Roman" w:cs="Times New Roman"/>
          <w:sz w:val="26"/>
          <w:szCs w:val="26"/>
        </w:rPr>
        <w:t xml:space="preserve">Представленные указанными участниками публичных консультаций замечания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D1972">
        <w:rPr>
          <w:rFonts w:ascii="Times New Roman" w:hAnsi="Times New Roman" w:cs="Times New Roman"/>
          <w:sz w:val="26"/>
          <w:szCs w:val="26"/>
        </w:rPr>
        <w:t xml:space="preserve">и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 целом учтены при подготовке настоящего заключения. Позиции, </w:t>
      </w:r>
      <w:r>
        <w:rPr>
          <w:rFonts w:ascii="Times New Roman" w:hAnsi="Times New Roman" w:cs="Times New Roman"/>
          <w:sz w:val="26"/>
          <w:szCs w:val="26"/>
        </w:rPr>
        <w:br/>
        <w:t xml:space="preserve">не учтенные в настоящем заключении, приведены в прилагаемой сводной таблице результатов </w:t>
      </w:r>
      <w:r w:rsidRPr="003D1972">
        <w:rPr>
          <w:rFonts w:ascii="Times New Roman" w:hAnsi="Times New Roman" w:cs="Times New Roman"/>
          <w:sz w:val="26"/>
          <w:szCs w:val="26"/>
        </w:rPr>
        <w:t>проведения публичных консультаций.</w:t>
      </w:r>
    </w:p>
    <w:p w:rsidR="00C84BF6" w:rsidRDefault="00C84BF6" w:rsidP="00DA23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России рекомендует разработчику дополнительно проработать указанные замечания и предложения и, по возможности, их учесть при доработке проекта акта.</w:t>
      </w:r>
    </w:p>
    <w:p w:rsidR="00C84BF6" w:rsidRPr="0092618B" w:rsidRDefault="00C84BF6" w:rsidP="00795D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18B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доработанной редакции </w:t>
      </w:r>
      <w:r w:rsidRPr="0092618B">
        <w:rPr>
          <w:rFonts w:ascii="Times New Roman" w:hAnsi="Times New Roman" w:cs="Times New Roman"/>
          <w:sz w:val="26"/>
          <w:szCs w:val="26"/>
        </w:rPr>
        <w:t>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C84BF6" w:rsidRDefault="00C84BF6" w:rsidP="00795D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18B">
        <w:rPr>
          <w:rFonts w:ascii="Times New Roman" w:hAnsi="Times New Roman" w:cs="Times New Roman"/>
          <w:sz w:val="26"/>
          <w:szCs w:val="26"/>
        </w:rPr>
        <w:t>По результатам рассмотрения</w:t>
      </w:r>
      <w:r w:rsidRPr="003C4C07">
        <w:rPr>
          <w:rFonts w:ascii="Times New Roman" w:hAnsi="Times New Roman" w:cs="Times New Roman"/>
          <w:sz w:val="26"/>
          <w:szCs w:val="26"/>
        </w:rPr>
        <w:t xml:space="preserve"> представленных разработчиком проекта акта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3C4C07">
        <w:rPr>
          <w:rFonts w:ascii="Times New Roman" w:hAnsi="Times New Roman" w:cs="Times New Roman"/>
          <w:sz w:val="26"/>
          <w:szCs w:val="26"/>
        </w:rPr>
        <w:t>и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разработчиком соблюдены</w:t>
      </w:r>
      <w:r>
        <w:rPr>
          <w:rFonts w:ascii="Times New Roman" w:hAnsi="Times New Roman" w:cs="Times New Roman"/>
          <w:sz w:val="26"/>
          <w:szCs w:val="26"/>
        </w:rPr>
        <w:t xml:space="preserve"> не в полном объеме</w:t>
      </w:r>
      <w:r w:rsidRPr="003C4C07">
        <w:rPr>
          <w:rFonts w:ascii="Times New Roman" w:hAnsi="Times New Roman" w:cs="Times New Roman"/>
          <w:sz w:val="26"/>
          <w:szCs w:val="26"/>
        </w:rPr>
        <w:t>.</w:t>
      </w:r>
    </w:p>
    <w:p w:rsidR="00C84BF6" w:rsidRPr="007040D6" w:rsidRDefault="00C84BF6" w:rsidP="00795D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91">
        <w:rPr>
          <w:rFonts w:ascii="Times New Roman" w:hAnsi="Times New Roman" w:cs="Times New Roman"/>
          <w:sz w:val="26"/>
          <w:szCs w:val="26"/>
        </w:rPr>
        <w:t xml:space="preserve">Следует отметить, что при проведении оценки регулирующего воздействия разработчиком не в полной мере были учтены рекомендации по формированию сводного отчета, утвержденные приказом Минэкономразвития России от 27 мая 2013 г. № 290 </w:t>
      </w:r>
      <w:r w:rsidRPr="00795D91">
        <w:rPr>
          <w:rFonts w:ascii="Times New Roman" w:hAnsi="Times New Roman" w:cs="Times New Roman"/>
          <w:sz w:val="26"/>
          <w:szCs w:val="26"/>
        </w:rPr>
        <w:br/>
        <w:t>«Об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воздействия».</w:t>
      </w:r>
    </w:p>
    <w:p w:rsidR="00C84BF6" w:rsidRDefault="00C84BF6" w:rsidP="0031630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9EA">
        <w:rPr>
          <w:rFonts w:ascii="Times New Roman" w:hAnsi="Times New Roman" w:cs="Times New Roman"/>
          <w:sz w:val="26"/>
          <w:szCs w:val="26"/>
        </w:rPr>
        <w:t xml:space="preserve">Так, в пункте 3.1 сводного отчета </w:t>
      </w:r>
      <w:r>
        <w:rPr>
          <w:rFonts w:ascii="Times New Roman" w:hAnsi="Times New Roman" w:cs="Times New Roman"/>
          <w:sz w:val="26"/>
          <w:szCs w:val="26"/>
        </w:rPr>
        <w:t xml:space="preserve">не указана конкретная проблема, </w:t>
      </w:r>
      <w:r w:rsidRPr="00C369EA">
        <w:rPr>
          <w:rFonts w:ascii="Times New Roman" w:hAnsi="Times New Roman" w:cs="Times New Roman"/>
          <w:sz w:val="26"/>
          <w:szCs w:val="26"/>
        </w:rPr>
        <w:t xml:space="preserve">на решение которой направлен предлагаемый разработчиком способ регулирования,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C369EA">
        <w:rPr>
          <w:rFonts w:ascii="Times New Roman" w:hAnsi="Times New Roman" w:cs="Times New Roman"/>
          <w:sz w:val="26"/>
          <w:szCs w:val="26"/>
        </w:rPr>
        <w:t>не позволяет оценить ее масштаб и значимость, а также объем и влияние имеющихся негативных эффектов на развитие экономики.</w:t>
      </w:r>
      <w:r w:rsidRPr="002B2A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BF6" w:rsidRDefault="00C84BF6" w:rsidP="002360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050">
        <w:rPr>
          <w:rFonts w:ascii="Times New Roman" w:hAnsi="Times New Roman" w:cs="Times New Roman"/>
          <w:sz w:val="26"/>
          <w:szCs w:val="26"/>
        </w:rPr>
        <w:t xml:space="preserve">Кроме того, в сводном отчете и сопроводительных материалах разработчиком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36050">
        <w:rPr>
          <w:rFonts w:ascii="Times New Roman" w:hAnsi="Times New Roman" w:cs="Times New Roman"/>
          <w:sz w:val="26"/>
          <w:szCs w:val="26"/>
        </w:rPr>
        <w:t xml:space="preserve">не приведены обоснования необходимости (целесообразности) </w:t>
      </w:r>
      <w:r>
        <w:rPr>
          <w:rFonts w:ascii="Times New Roman" w:hAnsi="Times New Roman" w:cs="Times New Roman"/>
          <w:sz w:val="26"/>
          <w:szCs w:val="26"/>
        </w:rPr>
        <w:t xml:space="preserve">установления предлагаемых </w:t>
      </w:r>
      <w:r w:rsidRPr="00236050">
        <w:rPr>
          <w:rFonts w:ascii="Times New Roman" w:hAnsi="Times New Roman" w:cs="Times New Roman"/>
          <w:sz w:val="26"/>
          <w:szCs w:val="26"/>
        </w:rPr>
        <w:t xml:space="preserve">объемов собственных средств (капитала) банков и установления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предлагаемых проектом акта </w:t>
      </w:r>
      <w:r w:rsidRPr="00236050">
        <w:rPr>
          <w:rFonts w:ascii="Times New Roman" w:hAnsi="Times New Roman" w:cs="Times New Roman"/>
          <w:sz w:val="26"/>
          <w:szCs w:val="26"/>
        </w:rPr>
        <w:t>дополнительных требований к банкам.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050">
        <w:rPr>
          <w:rFonts w:ascii="Times New Roman" w:hAnsi="Times New Roman" w:cs="Times New Roman"/>
          <w:sz w:val="26"/>
          <w:szCs w:val="26"/>
        </w:rPr>
        <w:t xml:space="preserve">В частности, разработчиком не приведены в динамике статистические данные, </w:t>
      </w:r>
      <w:r>
        <w:rPr>
          <w:rFonts w:ascii="Times New Roman" w:hAnsi="Times New Roman" w:cs="Times New Roman"/>
          <w:sz w:val="26"/>
          <w:szCs w:val="26"/>
        </w:rPr>
        <w:t>подтверждающие обоснованность предлагаемых объемов собственных средств банков, а также сведений, подтверждающих обоснованность дополнительных требований.</w:t>
      </w:r>
    </w:p>
    <w:p w:rsidR="00C84BF6" w:rsidRPr="00236050" w:rsidRDefault="00C84BF6" w:rsidP="002360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050">
        <w:rPr>
          <w:rFonts w:ascii="Times New Roman" w:hAnsi="Times New Roman" w:cs="Times New Roman"/>
          <w:sz w:val="26"/>
          <w:szCs w:val="26"/>
        </w:rPr>
        <w:t xml:space="preserve">Следует также отметить, что в качестве дополнительного обоснования введения </w:t>
      </w:r>
      <w:r w:rsidRPr="00236050">
        <w:rPr>
          <w:rFonts w:ascii="Times New Roman" w:hAnsi="Times New Roman" w:cs="Times New Roman"/>
          <w:sz w:val="26"/>
          <w:szCs w:val="26"/>
        </w:rPr>
        <w:br/>
        <w:t>в действие предлагаемого проектом акта регулирования в разделе 4 сводного отчета разработчиком не проанализирован международный опыт применения аналогичного регулирования (не приведены данные о достоинствах (недостатках), о позитивных (негативных) эффектах применения данного регулирования и т.п.).</w:t>
      </w:r>
    </w:p>
    <w:p w:rsidR="00C84BF6" w:rsidRPr="00863387" w:rsidRDefault="00C84BF6" w:rsidP="002360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050">
        <w:rPr>
          <w:rFonts w:ascii="Times New Roman" w:hAnsi="Times New Roman" w:cs="Times New Roman"/>
          <w:sz w:val="26"/>
          <w:szCs w:val="26"/>
        </w:rPr>
        <w:t xml:space="preserve">Также, разработчиком не проанализированы возможные риски решения проблемы предложенным способом регулирования и риски негативных последствий введения </w:t>
      </w:r>
      <w:r w:rsidRPr="00236050">
        <w:rPr>
          <w:rFonts w:ascii="Times New Roman" w:hAnsi="Times New Roman" w:cs="Times New Roman"/>
          <w:sz w:val="26"/>
          <w:szCs w:val="26"/>
        </w:rPr>
        <w:br/>
        <w:t>в действие предлагаемого проектом акта регулирования, а также способы их преодоления (пункты 6.1; 12.1-12.4 сводного отчета).</w:t>
      </w:r>
      <w:r w:rsidRPr="008633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BF6" w:rsidRPr="002B2A96" w:rsidRDefault="00C84BF6" w:rsidP="002360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B2A96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по результатам проведения анализа положений проекта акта и с учетом результатов дополнительных публичных консультаций </w:t>
      </w:r>
      <w:r w:rsidRPr="002B2A96">
        <w:rPr>
          <w:sz w:val="26"/>
          <w:szCs w:val="26"/>
        </w:rPr>
        <w:t>по проекту акта имеются следующие замечания.</w:t>
      </w:r>
    </w:p>
    <w:p w:rsidR="00C84BF6" w:rsidRPr="005B7CEE" w:rsidRDefault="00C84BF6" w:rsidP="005B7C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B9C">
        <w:rPr>
          <w:rFonts w:ascii="Times New Roman" w:hAnsi="Times New Roman" w:cs="Times New Roman"/>
          <w:sz w:val="26"/>
          <w:szCs w:val="26"/>
        </w:rPr>
        <w:t>1. </w:t>
      </w:r>
      <w:r w:rsidRPr="00C44834">
        <w:rPr>
          <w:rFonts w:ascii="Times New Roman" w:hAnsi="Times New Roman" w:cs="Times New Roman"/>
          <w:sz w:val="26"/>
          <w:szCs w:val="26"/>
        </w:rPr>
        <w:t xml:space="preserve">Проектом акта </w:t>
      </w:r>
      <w:r>
        <w:rPr>
          <w:rFonts w:ascii="Times New Roman" w:hAnsi="Times New Roman" w:cs="Times New Roman"/>
          <w:sz w:val="26"/>
          <w:szCs w:val="26"/>
        </w:rPr>
        <w:t>предлагается</w:t>
      </w:r>
      <w:r w:rsidRPr="00C44834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C44834">
        <w:rPr>
          <w:rFonts w:ascii="Times New Roman" w:hAnsi="Times New Roman" w:cs="Times New Roman"/>
          <w:sz w:val="26"/>
          <w:szCs w:val="26"/>
        </w:rPr>
        <w:t xml:space="preserve"> максимальн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44834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4834">
        <w:rPr>
          <w:rFonts w:ascii="Times New Roman" w:hAnsi="Times New Roman" w:cs="Times New Roman"/>
          <w:sz w:val="26"/>
          <w:szCs w:val="26"/>
        </w:rPr>
        <w:t xml:space="preserve"> одной банковской гарантии и максимальн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44834">
        <w:rPr>
          <w:rFonts w:ascii="Times New Roman" w:hAnsi="Times New Roman" w:cs="Times New Roman"/>
          <w:sz w:val="26"/>
          <w:szCs w:val="26"/>
        </w:rPr>
        <w:t xml:space="preserve"> сумм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4834">
        <w:rPr>
          <w:rFonts w:ascii="Times New Roman" w:hAnsi="Times New Roman" w:cs="Times New Roman"/>
          <w:sz w:val="26"/>
          <w:szCs w:val="26"/>
        </w:rPr>
        <w:t xml:space="preserve"> всех одновременно действующих банковских гарантий, выданных одним банком, </w:t>
      </w:r>
      <w:r w:rsidRPr="005B7CEE">
        <w:rPr>
          <w:rFonts w:ascii="Times New Roman" w:hAnsi="Times New Roman" w:cs="Times New Roman"/>
          <w:sz w:val="26"/>
          <w:szCs w:val="26"/>
        </w:rPr>
        <w:t>в зависимости от величины собственных средств (капитала) банка и от соблюдения условий соответствия (несоответствия) ими критериям, установленным пунктом 1 проекта акта.</w:t>
      </w:r>
    </w:p>
    <w:p w:rsidR="00C84BF6" w:rsidRDefault="00C84BF6" w:rsidP="005B7C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этом, если для банков, соответствующих критериям подпункта 2 проекта акта, предлагаемое проектом акта регулирование создает благоприятные </w:t>
      </w:r>
      <w:r w:rsidRPr="000F3B9C">
        <w:rPr>
          <w:rFonts w:ascii="Times New Roman" w:hAnsi="Times New Roman" w:cs="Times New Roman"/>
          <w:sz w:val="26"/>
          <w:szCs w:val="26"/>
        </w:rPr>
        <w:t xml:space="preserve">условия </w:t>
      </w:r>
      <w:r>
        <w:rPr>
          <w:rFonts w:ascii="Times New Roman" w:hAnsi="Times New Roman" w:cs="Times New Roman"/>
          <w:sz w:val="26"/>
          <w:szCs w:val="26"/>
        </w:rPr>
        <w:t xml:space="preserve">для формирования портфеля банковских гарантий, то для банков со средним и небольшим объемом собственных средств (от 1 млрд рублей до 25 млрд рублей включительно) данное регулирование существенно ограничивает деятельность, связанную с оказанием услуг </w:t>
      </w:r>
      <w:r>
        <w:rPr>
          <w:rFonts w:ascii="Times New Roman" w:hAnsi="Times New Roman" w:cs="Times New Roman"/>
          <w:sz w:val="26"/>
          <w:szCs w:val="26"/>
        </w:rPr>
        <w:br/>
        <w:t>по выдаче банковских гарантий.</w:t>
      </w:r>
    </w:p>
    <w:p w:rsidR="00C84BF6" w:rsidRDefault="00C84BF6" w:rsidP="000F3B9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участников публичных консультаций, предлагаемые проектом акта условия и критерии для указанной категории банков могут привести к значительному сокращению общего количества банков, оказывающих услуги по выдаче банковских гарантий, а также к ухудшению условий осуществления предпринимательской и иной экономической деятельности </w:t>
      </w:r>
      <w:r w:rsidRPr="00476DF4">
        <w:rPr>
          <w:rFonts w:ascii="Times New Roman" w:hAnsi="Times New Roman" w:cs="Times New Roman"/>
          <w:sz w:val="26"/>
          <w:szCs w:val="26"/>
        </w:rPr>
        <w:t>субъектам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DF4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в связи с возможным ростом стоимости банковских гарантий.</w:t>
      </w:r>
    </w:p>
    <w:p w:rsidR="00C84BF6" w:rsidRDefault="00C84BF6" w:rsidP="000F3B9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следует отметить, что в</w:t>
      </w:r>
      <w:r w:rsidRPr="00B60517">
        <w:rPr>
          <w:rFonts w:ascii="Times New Roman" w:hAnsi="Times New Roman" w:cs="Times New Roman"/>
          <w:sz w:val="26"/>
          <w:szCs w:val="26"/>
        </w:rPr>
        <w:t xml:space="preserve"> случае если ограничение по сумме всех выданных гарантий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60517">
        <w:rPr>
          <w:rFonts w:ascii="Times New Roman" w:hAnsi="Times New Roman" w:cs="Times New Roman"/>
          <w:sz w:val="26"/>
          <w:szCs w:val="26"/>
        </w:rPr>
        <w:t>примен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6051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60517">
        <w:rPr>
          <w:rFonts w:ascii="Times New Roman" w:hAnsi="Times New Roman" w:cs="Times New Roman"/>
          <w:sz w:val="26"/>
          <w:szCs w:val="26"/>
        </w:rPr>
        <w:t>ся в отношении общей суммы гарантий, выданных одним банком всем контрагентам, существует вероятность превышения спроса на выдачу гарантий над предложением, что ограничит механизм использования банковских гаран</w:t>
      </w:r>
      <w:r>
        <w:rPr>
          <w:rFonts w:ascii="Times New Roman" w:hAnsi="Times New Roman" w:cs="Times New Roman"/>
          <w:sz w:val="26"/>
          <w:szCs w:val="26"/>
        </w:rPr>
        <w:t>тий  в целях обеспечения уплаты.</w:t>
      </w:r>
    </w:p>
    <w:p w:rsidR="00C84BF6" w:rsidRDefault="00C84BF6" w:rsidP="00F358A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в</w:t>
      </w:r>
      <w:r w:rsidRPr="00053F41">
        <w:rPr>
          <w:rFonts w:ascii="Times New Roman" w:hAnsi="Times New Roman" w:cs="Times New Roman"/>
          <w:sz w:val="26"/>
          <w:szCs w:val="26"/>
        </w:rPr>
        <w:t xml:space="preserve"> настоящее время стоимость одной банковской гарантии варьируется в среднем от 2 до 10% от суммы контракта</w:t>
      </w:r>
      <w:r w:rsidRPr="00053F41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53F4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Процедура выдачи банковской гарантии является сложной, трудоемкой и схожей с процедурой одобрения кредитной линии. </w:t>
      </w:r>
      <w:r w:rsidRPr="00053F41">
        <w:rPr>
          <w:rFonts w:ascii="Times New Roman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>на сегодняшний день</w:t>
      </w:r>
      <w:r w:rsidRPr="00053F41">
        <w:rPr>
          <w:rFonts w:ascii="Times New Roman" w:hAnsi="Times New Roman" w:cs="Times New Roman"/>
          <w:sz w:val="26"/>
          <w:szCs w:val="26"/>
        </w:rPr>
        <w:t xml:space="preserve"> отсутствует единый подход к установлению требований к претендентам на получение банковской гарантии. Каждым банком могут устанавливаться различные требования, причем зачастую такие требования могут быть весьма обременительными, либо вообще невыполнимыми</w:t>
      </w:r>
      <w:r>
        <w:rPr>
          <w:rFonts w:ascii="Times New Roman" w:hAnsi="Times New Roman" w:cs="Times New Roman"/>
          <w:sz w:val="26"/>
          <w:szCs w:val="26"/>
        </w:rPr>
        <w:t xml:space="preserve">, в том числе, например, </w:t>
      </w:r>
      <w:r>
        <w:rPr>
          <w:rFonts w:ascii="Times New Roman" w:hAnsi="Times New Roman" w:cs="Times New Roman"/>
          <w:sz w:val="26"/>
          <w:szCs w:val="26"/>
        </w:rPr>
        <w:br/>
        <w:t xml:space="preserve">для субъектов малого и среднего предпринимательства. </w:t>
      </w:r>
      <w:r w:rsidRPr="00053F41">
        <w:rPr>
          <w:rFonts w:ascii="Times New Roman" w:hAnsi="Times New Roman" w:cs="Times New Roman"/>
          <w:sz w:val="26"/>
          <w:szCs w:val="26"/>
        </w:rPr>
        <w:t>К таким требованиям, в</w:t>
      </w:r>
      <w:r>
        <w:rPr>
          <w:rFonts w:ascii="Times New Roman" w:hAnsi="Times New Roman" w:cs="Times New Roman"/>
          <w:sz w:val="26"/>
          <w:szCs w:val="26"/>
        </w:rPr>
        <w:t xml:space="preserve"> частности, относится требование</w:t>
      </w:r>
      <w:r w:rsidRPr="00053F41">
        <w:rPr>
          <w:rFonts w:ascii="Times New Roman" w:hAnsi="Times New Roman" w:cs="Times New Roman"/>
          <w:sz w:val="26"/>
          <w:szCs w:val="26"/>
        </w:rPr>
        <w:t xml:space="preserve"> о предоставлении обеспечения исполнения обязательств </w:t>
      </w:r>
      <w:r>
        <w:rPr>
          <w:rFonts w:ascii="Times New Roman" w:hAnsi="Times New Roman" w:cs="Times New Roman"/>
          <w:sz w:val="26"/>
          <w:szCs w:val="26"/>
        </w:rPr>
        <w:br/>
      </w:r>
      <w:r w:rsidRPr="00053F41">
        <w:rPr>
          <w:rFonts w:ascii="Times New Roman" w:hAnsi="Times New Roman" w:cs="Times New Roman"/>
          <w:sz w:val="26"/>
          <w:szCs w:val="26"/>
        </w:rPr>
        <w:t>по банковской гарантии, например, в виде залога имущества</w:t>
      </w:r>
      <w:r w:rsidRPr="00053F41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53F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4BF6" w:rsidRDefault="00C84BF6" w:rsidP="006D0A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значительное сокращение количества таких банков может способствовать </w:t>
      </w:r>
      <w:r w:rsidRPr="00476DF4">
        <w:rPr>
          <w:rFonts w:ascii="Times New Roman" w:hAnsi="Times New Roman" w:cs="Times New Roman"/>
          <w:sz w:val="26"/>
          <w:szCs w:val="26"/>
        </w:rPr>
        <w:t>увеличени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76DF4">
        <w:rPr>
          <w:rFonts w:ascii="Times New Roman" w:hAnsi="Times New Roman" w:cs="Times New Roman"/>
          <w:sz w:val="26"/>
          <w:szCs w:val="26"/>
        </w:rPr>
        <w:t xml:space="preserve"> стоимости банковских гарантий</w:t>
      </w:r>
      <w:r>
        <w:rPr>
          <w:rFonts w:ascii="Times New Roman" w:hAnsi="Times New Roman" w:cs="Times New Roman"/>
          <w:sz w:val="26"/>
          <w:szCs w:val="26"/>
        </w:rPr>
        <w:t xml:space="preserve"> более чем в 2 раза, </w:t>
      </w:r>
      <w:r>
        <w:rPr>
          <w:rFonts w:ascii="Times New Roman" w:hAnsi="Times New Roman" w:cs="Times New Roman"/>
          <w:sz w:val="26"/>
          <w:szCs w:val="26"/>
        </w:rPr>
        <w:br/>
        <w:t>что у</w:t>
      </w:r>
      <w:r w:rsidRPr="00053F41">
        <w:rPr>
          <w:rFonts w:ascii="Times New Roman" w:hAnsi="Times New Roman" w:cs="Times New Roman"/>
          <w:sz w:val="26"/>
          <w:szCs w:val="26"/>
        </w:rPr>
        <w:t>читывая ограниченные финансовые и материальные возможности</w:t>
      </w:r>
      <w:r>
        <w:rPr>
          <w:rFonts w:ascii="Times New Roman" w:hAnsi="Times New Roman" w:cs="Times New Roman"/>
          <w:sz w:val="26"/>
          <w:szCs w:val="26"/>
        </w:rPr>
        <w:t xml:space="preserve">, особенно, </w:t>
      </w:r>
      <w:r w:rsidRPr="00053F41">
        <w:rPr>
          <w:rFonts w:ascii="Times New Roman" w:hAnsi="Times New Roman" w:cs="Times New Roman"/>
          <w:sz w:val="26"/>
          <w:szCs w:val="26"/>
        </w:rPr>
        <w:t xml:space="preserve">субъектов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053F41">
        <w:rPr>
          <w:rFonts w:ascii="Times New Roman" w:hAnsi="Times New Roman" w:cs="Times New Roman"/>
          <w:sz w:val="26"/>
          <w:szCs w:val="26"/>
        </w:rPr>
        <w:t xml:space="preserve"> и, в первую очередь, тех, кто осуществляет свою предпринимательскую деятельность </w:t>
      </w:r>
      <w:r>
        <w:rPr>
          <w:rFonts w:ascii="Times New Roman" w:hAnsi="Times New Roman" w:cs="Times New Roman"/>
          <w:sz w:val="26"/>
          <w:szCs w:val="26"/>
        </w:rPr>
        <w:t>незначительный</w:t>
      </w:r>
      <w:r w:rsidRPr="00053F41">
        <w:rPr>
          <w:rFonts w:ascii="Times New Roman" w:hAnsi="Times New Roman" w:cs="Times New Roman"/>
          <w:sz w:val="26"/>
          <w:szCs w:val="26"/>
        </w:rPr>
        <w:t xml:space="preserve"> период времени, </w:t>
      </w:r>
      <w:r w:rsidRPr="00476DF4">
        <w:rPr>
          <w:rFonts w:ascii="Times New Roman" w:hAnsi="Times New Roman" w:cs="Times New Roman"/>
          <w:sz w:val="26"/>
          <w:szCs w:val="26"/>
        </w:rPr>
        <w:t xml:space="preserve">может привести к сокращению </w:t>
      </w:r>
      <w:r>
        <w:rPr>
          <w:rFonts w:ascii="Times New Roman" w:hAnsi="Times New Roman" w:cs="Times New Roman"/>
          <w:sz w:val="26"/>
          <w:szCs w:val="26"/>
        </w:rPr>
        <w:t>не только спроса</w:t>
      </w:r>
      <w:r w:rsidRPr="00476DF4">
        <w:rPr>
          <w:rFonts w:ascii="Times New Roman" w:hAnsi="Times New Roman" w:cs="Times New Roman"/>
          <w:sz w:val="26"/>
          <w:szCs w:val="26"/>
        </w:rPr>
        <w:t xml:space="preserve"> на данный вид обеспечения обязательств в связи с его недоступностью, </w:t>
      </w: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Pr="00476DF4">
        <w:rPr>
          <w:rFonts w:ascii="Times New Roman" w:hAnsi="Times New Roman" w:cs="Times New Roman"/>
          <w:sz w:val="26"/>
          <w:szCs w:val="26"/>
        </w:rPr>
        <w:t xml:space="preserve">и, как следствие,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76DF4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DF4">
        <w:rPr>
          <w:rFonts w:ascii="Times New Roman" w:hAnsi="Times New Roman" w:cs="Times New Roman"/>
          <w:sz w:val="26"/>
          <w:szCs w:val="26"/>
        </w:rPr>
        <w:t xml:space="preserve"> прекращения ведения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предпринимательской и иной </w:t>
      </w:r>
      <w:r w:rsidRPr="00476DF4">
        <w:rPr>
          <w:rFonts w:ascii="Times New Roman" w:hAnsi="Times New Roman" w:cs="Times New Roman"/>
          <w:sz w:val="26"/>
          <w:szCs w:val="26"/>
        </w:rPr>
        <w:t>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целом</w:t>
      </w:r>
      <w:r w:rsidRPr="00476DF4">
        <w:rPr>
          <w:rFonts w:ascii="Times New Roman" w:hAnsi="Times New Roman" w:cs="Times New Roman"/>
          <w:sz w:val="26"/>
          <w:szCs w:val="26"/>
        </w:rPr>
        <w:t>.</w:t>
      </w:r>
    </w:p>
    <w:p w:rsidR="00C84BF6" w:rsidRDefault="00C84BF6" w:rsidP="000E0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Подпунктом «б» пункта 1 проекта акта в качестве одного из критериев </w:t>
      </w:r>
      <w:r>
        <w:rPr>
          <w:sz w:val="26"/>
          <w:szCs w:val="26"/>
        </w:rPr>
        <w:br/>
        <w:t xml:space="preserve">к банкам предлагается установить требование по наличию письменного </w:t>
      </w:r>
      <w:r w:rsidRPr="0092288D">
        <w:rPr>
          <w:sz w:val="26"/>
          <w:szCs w:val="26"/>
        </w:rPr>
        <w:t xml:space="preserve">согласия банка </w:t>
      </w:r>
      <w:r>
        <w:rPr>
          <w:sz w:val="26"/>
          <w:szCs w:val="26"/>
        </w:rPr>
        <w:br/>
      </w:r>
      <w:r w:rsidRPr="0092288D">
        <w:rPr>
          <w:sz w:val="26"/>
          <w:szCs w:val="26"/>
        </w:rPr>
        <w:t xml:space="preserve">на предоставление информации на ежеквартальной основе налоговым органам </w:t>
      </w:r>
      <w:r>
        <w:rPr>
          <w:sz w:val="26"/>
          <w:szCs w:val="26"/>
        </w:rPr>
        <w:br/>
      </w:r>
      <w:r w:rsidRPr="0092288D">
        <w:rPr>
          <w:sz w:val="26"/>
          <w:szCs w:val="26"/>
        </w:rPr>
        <w:t>о соблюдении критериев, устанавливаемых проектом акта</w:t>
      </w:r>
      <w:r>
        <w:rPr>
          <w:sz w:val="26"/>
          <w:szCs w:val="26"/>
        </w:rPr>
        <w:t xml:space="preserve"> (далее – письменное согласие).</w:t>
      </w:r>
    </w:p>
    <w:p w:rsidR="00C84BF6" w:rsidRDefault="00C84BF6" w:rsidP="000E0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11436">
        <w:rPr>
          <w:sz w:val="26"/>
          <w:szCs w:val="26"/>
        </w:rPr>
        <w:t>При этом остается неясным</w:t>
      </w:r>
      <w:r>
        <w:rPr>
          <w:sz w:val="26"/>
          <w:szCs w:val="26"/>
        </w:rPr>
        <w:t xml:space="preserve"> порядок и сроки направления </w:t>
      </w:r>
      <w:r w:rsidRPr="0092288D">
        <w:rPr>
          <w:sz w:val="26"/>
          <w:szCs w:val="26"/>
        </w:rPr>
        <w:t xml:space="preserve">в налоговые органы </w:t>
      </w:r>
      <w:r>
        <w:rPr>
          <w:sz w:val="26"/>
          <w:szCs w:val="26"/>
        </w:rPr>
        <w:t xml:space="preserve">письменного </w:t>
      </w:r>
      <w:r w:rsidRPr="0092288D">
        <w:rPr>
          <w:sz w:val="26"/>
          <w:szCs w:val="26"/>
        </w:rPr>
        <w:t>согласия</w:t>
      </w:r>
      <w:r>
        <w:rPr>
          <w:sz w:val="26"/>
          <w:szCs w:val="26"/>
        </w:rPr>
        <w:t xml:space="preserve"> и его форма, а также необходимость ежеквартального информирования налоговых органов. Также не ясны правовые последствия в случае несоблюдения критериев банком, например, по причине пересмотра Банком России рейтинга.</w:t>
      </w:r>
    </w:p>
    <w:p w:rsidR="00C84BF6" w:rsidRDefault="00C84BF6" w:rsidP="000E0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Поэтому участниками публичных консультаций предлагается рассмотреть возможность направления письменного согласия единоразово.</w:t>
      </w:r>
    </w:p>
    <w:p w:rsidR="00C84BF6" w:rsidRDefault="00C84BF6" w:rsidP="000E0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считаем целесообразным либо исключить указанное требование, </w:t>
      </w:r>
      <w:r>
        <w:rPr>
          <w:sz w:val="26"/>
          <w:szCs w:val="26"/>
        </w:rPr>
        <w:br/>
        <w:t xml:space="preserve">как заведомо невыполнимое по причинам, не зависящим от кредитной организации, (например, изменение Банком России рейтинга кредитной организации), либо </w:t>
      </w:r>
      <w:r w:rsidRPr="00200A32">
        <w:rPr>
          <w:sz w:val="26"/>
          <w:szCs w:val="26"/>
        </w:rPr>
        <w:t>дополнить проект акта указанными положениями</w:t>
      </w:r>
      <w:r>
        <w:rPr>
          <w:sz w:val="26"/>
          <w:szCs w:val="26"/>
        </w:rPr>
        <w:t xml:space="preserve"> либо отсылочной нормой на нормативный правовой акт, который будет устанавливать указанные порядок и сроки направления письменного согласия, </w:t>
      </w:r>
      <w:r w:rsidRPr="000E0FC3">
        <w:rPr>
          <w:sz w:val="26"/>
          <w:szCs w:val="26"/>
        </w:rPr>
        <w:t xml:space="preserve">поскольку факт выполнения или невыполнения банком </w:t>
      </w:r>
      <w:r>
        <w:rPr>
          <w:sz w:val="26"/>
          <w:szCs w:val="26"/>
        </w:rPr>
        <w:t>устанавливаемых</w:t>
      </w:r>
      <w:r w:rsidRPr="000E0FC3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ев</w:t>
      </w:r>
      <w:r w:rsidRPr="000E0FC3">
        <w:rPr>
          <w:sz w:val="26"/>
          <w:szCs w:val="26"/>
        </w:rPr>
        <w:t xml:space="preserve"> существенным образом влияет на размер устанавливаемых для б</w:t>
      </w:r>
      <w:r>
        <w:rPr>
          <w:sz w:val="26"/>
          <w:szCs w:val="26"/>
        </w:rPr>
        <w:t>анка максимальных сумм гарантий.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015AAA">
        <w:rPr>
          <w:sz w:val="26"/>
          <w:szCs w:val="26"/>
        </w:rPr>
        <w:t>Подпунктом «</w:t>
      </w:r>
      <w:r>
        <w:rPr>
          <w:sz w:val="26"/>
          <w:szCs w:val="26"/>
        </w:rPr>
        <w:t>в</w:t>
      </w:r>
      <w:r w:rsidRPr="00015AAA">
        <w:rPr>
          <w:sz w:val="26"/>
          <w:szCs w:val="26"/>
        </w:rPr>
        <w:t>» пункта 1 проекта акта предлагается установить</w:t>
      </w:r>
      <w:r>
        <w:rPr>
          <w:sz w:val="26"/>
          <w:szCs w:val="26"/>
        </w:rPr>
        <w:t xml:space="preserve"> критерий, предусматривающий </w:t>
      </w:r>
      <w:r w:rsidRPr="00B60517">
        <w:rPr>
          <w:sz w:val="26"/>
          <w:szCs w:val="26"/>
        </w:rPr>
        <w:t xml:space="preserve">нахождение под прямым или косвенным контролем Центрального банка Российской Федерации или Российской Федерации (банк включен в перечень кредитных организаций, размещаемый Центральным банком Российской Федерации </w:t>
      </w:r>
      <w:r>
        <w:rPr>
          <w:sz w:val="26"/>
          <w:szCs w:val="26"/>
        </w:rPr>
        <w:br/>
      </w:r>
      <w:r w:rsidRPr="00B60517">
        <w:rPr>
          <w:sz w:val="26"/>
          <w:szCs w:val="26"/>
        </w:rPr>
        <w:t xml:space="preserve">на своем официальном сайте в информационно-телекоммуникационной сети «Интернет» </w:t>
      </w:r>
      <w:r>
        <w:rPr>
          <w:sz w:val="26"/>
          <w:szCs w:val="26"/>
        </w:rPr>
        <w:br/>
      </w:r>
      <w:r w:rsidRPr="00B60517">
        <w:rPr>
          <w:sz w:val="26"/>
          <w:szCs w:val="26"/>
        </w:rPr>
        <w:t>в соответствии с частью 3 статьи 2 Федеральн</w:t>
      </w:r>
      <w:r>
        <w:rPr>
          <w:sz w:val="26"/>
          <w:szCs w:val="26"/>
        </w:rPr>
        <w:t>ого закона от 21 июля 2014 г. № </w:t>
      </w:r>
      <w:r w:rsidRPr="00B60517">
        <w:rPr>
          <w:sz w:val="26"/>
          <w:szCs w:val="26"/>
        </w:rPr>
        <w:t xml:space="preserve">213-ФЗ </w:t>
      </w:r>
      <w:r>
        <w:rPr>
          <w:sz w:val="26"/>
          <w:szCs w:val="26"/>
        </w:rPr>
        <w:br/>
      </w:r>
      <w:r w:rsidRPr="00B60517">
        <w:rPr>
          <w:sz w:val="26"/>
          <w:szCs w:val="26"/>
        </w:rPr>
        <w:t xml:space="preserve">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</w:t>
      </w:r>
      <w:r>
        <w:rPr>
          <w:sz w:val="26"/>
          <w:szCs w:val="26"/>
        </w:rPr>
        <w:t xml:space="preserve">стратегическое </w:t>
      </w:r>
      <w:r w:rsidRPr="00B60517">
        <w:rPr>
          <w:sz w:val="26"/>
          <w:szCs w:val="26"/>
        </w:rPr>
        <w:t>значение для оборонно-</w:t>
      </w:r>
      <w:r w:rsidRPr="00911AB6">
        <w:rPr>
          <w:sz w:val="26"/>
          <w:szCs w:val="26"/>
        </w:rPr>
        <w:t>промышленного комплекса и безопасности Российской Федерации, и внесении изменений в отдельные законодатель</w:t>
      </w:r>
      <w:r>
        <w:rPr>
          <w:sz w:val="26"/>
          <w:szCs w:val="26"/>
        </w:rPr>
        <w:t>ные акты Российской Федерации»).</w:t>
      </w:r>
    </w:p>
    <w:p w:rsidR="00C84BF6" w:rsidRPr="004E29A5" w:rsidRDefault="00C84BF6" w:rsidP="004E29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нашему мнению, данным критерием фактически создаются </w:t>
      </w:r>
      <w:r w:rsidRPr="00B60517">
        <w:rPr>
          <w:sz w:val="26"/>
          <w:szCs w:val="26"/>
        </w:rPr>
        <w:t>необоснованные преимущества для банков с участием государства и</w:t>
      </w:r>
      <w:r>
        <w:rPr>
          <w:sz w:val="26"/>
          <w:szCs w:val="26"/>
        </w:rPr>
        <w:t xml:space="preserve"> устанавливается</w:t>
      </w:r>
      <w:r w:rsidRPr="00B60517">
        <w:rPr>
          <w:sz w:val="26"/>
          <w:szCs w:val="26"/>
        </w:rPr>
        <w:t xml:space="preserve"> не предусмотренное законодательством </w:t>
      </w:r>
      <w:r>
        <w:rPr>
          <w:sz w:val="26"/>
          <w:szCs w:val="26"/>
        </w:rPr>
        <w:t xml:space="preserve">Российской Федерации </w:t>
      </w:r>
      <w:r w:rsidRPr="00B60517">
        <w:rPr>
          <w:sz w:val="26"/>
          <w:szCs w:val="26"/>
        </w:rPr>
        <w:t xml:space="preserve">ограничение на рынке услуг по выдаче налоговых гарантий </w:t>
      </w:r>
      <w:r>
        <w:rPr>
          <w:sz w:val="26"/>
          <w:szCs w:val="26"/>
        </w:rPr>
        <w:t xml:space="preserve">для частных банков. По мнению участников публичных консультаций, установление данного критерия </w:t>
      </w:r>
      <w:r w:rsidRPr="00B60517">
        <w:rPr>
          <w:sz w:val="26"/>
          <w:szCs w:val="26"/>
        </w:rPr>
        <w:t>является одним из признаков ограничения конкуренции</w:t>
      </w:r>
      <w:r>
        <w:rPr>
          <w:sz w:val="26"/>
          <w:szCs w:val="26"/>
        </w:rPr>
        <w:t>, подпадающим под пункт 17</w:t>
      </w:r>
      <w:r w:rsidRPr="00B605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статьи 4 </w:t>
      </w:r>
      <w:r w:rsidRPr="00B60517">
        <w:rPr>
          <w:sz w:val="26"/>
          <w:szCs w:val="26"/>
        </w:rPr>
        <w:t xml:space="preserve">Федерального закона </w:t>
      </w:r>
      <w:r w:rsidRPr="004E29A5">
        <w:rPr>
          <w:sz w:val="26"/>
          <w:szCs w:val="26"/>
        </w:rPr>
        <w:t>от 26 июля 2006 г. № 135-ФЗ «О защите конкуренции»</w:t>
      </w:r>
      <w:r>
        <w:rPr>
          <w:sz w:val="26"/>
          <w:szCs w:val="26"/>
        </w:rPr>
        <w:t>.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15AAA">
        <w:rPr>
          <w:sz w:val="26"/>
          <w:szCs w:val="26"/>
        </w:rPr>
        <w:t xml:space="preserve">. Подпунктом «г» пункта 1 проекта акта в качестве одного из требований к банкам предлагается установить требование по наличию уровня кредитного рейтинга, присвоенного кредитной организации по национальной рейтинговой шкале одним </w:t>
      </w:r>
      <w:r w:rsidRPr="00015AAA">
        <w:rPr>
          <w:sz w:val="26"/>
          <w:szCs w:val="26"/>
        </w:rPr>
        <w:br/>
        <w:t xml:space="preserve">или несколькими кредитными рейтинговыми агентствами, внесенными Банком России </w:t>
      </w:r>
      <w:r w:rsidRPr="00015AAA">
        <w:rPr>
          <w:sz w:val="26"/>
          <w:szCs w:val="26"/>
        </w:rPr>
        <w:br/>
        <w:t xml:space="preserve">в реестр кредитных рейтинговых агентств, чья методология по осуществлению рейтинговой деятельности в отношении присвоения кредитных рейтингов банкам </w:t>
      </w:r>
      <w:r w:rsidRPr="00015AAA">
        <w:rPr>
          <w:sz w:val="26"/>
          <w:szCs w:val="26"/>
        </w:rPr>
        <w:br/>
        <w:t>и банковским группам подтверждена Банком России на соответствие требованиям, предусмотренным Федеральным законом от 13 июля 2015 г. № 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Федерации».</w:t>
      </w:r>
      <w:r>
        <w:rPr>
          <w:sz w:val="26"/>
          <w:szCs w:val="26"/>
        </w:rPr>
        <w:t xml:space="preserve"> 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у</w:t>
      </w:r>
      <w:r w:rsidRPr="00C050F8">
        <w:rPr>
          <w:sz w:val="26"/>
          <w:szCs w:val="26"/>
        </w:rPr>
        <w:t xml:space="preserve">ровни кредитных рейтингов и рейтинговые агентства в целях </w:t>
      </w:r>
      <w:r>
        <w:rPr>
          <w:sz w:val="26"/>
          <w:szCs w:val="26"/>
        </w:rPr>
        <w:t xml:space="preserve">пунктов </w:t>
      </w:r>
      <w:r>
        <w:rPr>
          <w:sz w:val="26"/>
          <w:szCs w:val="26"/>
        </w:rPr>
        <w:br/>
        <w:t xml:space="preserve">2 и 3 проекта акта </w:t>
      </w:r>
      <w:r w:rsidRPr="00C050F8">
        <w:rPr>
          <w:sz w:val="26"/>
          <w:szCs w:val="26"/>
        </w:rPr>
        <w:t>определяются Правительством Российской Федерации.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следует отметить, что в настоящее время конкретные уровни </w:t>
      </w:r>
      <w:r w:rsidRPr="00C00DB0">
        <w:rPr>
          <w:sz w:val="26"/>
          <w:szCs w:val="26"/>
        </w:rPr>
        <w:t>кредитных рейтингов</w:t>
      </w:r>
      <w:r>
        <w:rPr>
          <w:sz w:val="26"/>
          <w:szCs w:val="26"/>
        </w:rPr>
        <w:t>, а также перечень рейтинговых агентств для целей применения предлагаемого проектом акта регулирования не определены, что не позволяет банкам оценить их потенциальную возможность участия в деятельности по оказанию услуг на рынке банковских гарантий.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участников публичных консультаций, применение данного критерия для вышеуказанных целей возможно только после установления уровней данных рейтингов </w:t>
      </w:r>
      <w:r>
        <w:rPr>
          <w:sz w:val="26"/>
          <w:szCs w:val="26"/>
        </w:rPr>
        <w:br/>
        <w:t>и их официальной публикации.</w:t>
      </w:r>
    </w:p>
    <w:p w:rsidR="00C84BF6" w:rsidRDefault="00C84BF6" w:rsidP="00015A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считаем необходимым обеспечить определение уровней </w:t>
      </w:r>
      <w:r w:rsidRPr="00C00DB0">
        <w:rPr>
          <w:sz w:val="26"/>
          <w:szCs w:val="26"/>
        </w:rPr>
        <w:t>кредитных</w:t>
      </w:r>
      <w:r>
        <w:rPr>
          <w:sz w:val="26"/>
          <w:szCs w:val="26"/>
        </w:rPr>
        <w:t xml:space="preserve"> рейтингов и их официальную публикацию до введения в действие предлагаемого проектом акта регулирования.</w:t>
      </w:r>
    </w:p>
    <w:p w:rsidR="00C84BF6" w:rsidRDefault="00C84BF6" w:rsidP="00E243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Пунктом 5 проекта акта для банков, </w:t>
      </w:r>
      <w:r w:rsidRPr="00E24393">
        <w:rPr>
          <w:sz w:val="26"/>
          <w:szCs w:val="26"/>
        </w:rPr>
        <w:t>которые имеют собственные средства (капита</w:t>
      </w:r>
      <w:r>
        <w:rPr>
          <w:sz w:val="26"/>
          <w:szCs w:val="26"/>
        </w:rPr>
        <w:t>л</w:t>
      </w:r>
      <w:r w:rsidRPr="00E24393">
        <w:rPr>
          <w:sz w:val="26"/>
          <w:szCs w:val="26"/>
        </w:rPr>
        <w:t xml:space="preserve">) банка свыше </w:t>
      </w:r>
      <w:r>
        <w:rPr>
          <w:sz w:val="26"/>
          <w:szCs w:val="26"/>
        </w:rPr>
        <w:t>1 млрд рублей и не</w:t>
      </w:r>
      <w:r w:rsidRPr="00E24393">
        <w:rPr>
          <w:sz w:val="26"/>
          <w:szCs w:val="26"/>
        </w:rPr>
        <w:t xml:space="preserve"> соответствуют критериям</w:t>
      </w:r>
      <w:r>
        <w:rPr>
          <w:sz w:val="26"/>
          <w:szCs w:val="26"/>
        </w:rPr>
        <w:t xml:space="preserve"> (условиям)</w:t>
      </w:r>
      <w:r w:rsidRPr="00E24393">
        <w:rPr>
          <w:sz w:val="26"/>
          <w:szCs w:val="26"/>
        </w:rPr>
        <w:t xml:space="preserve">, предусмотренным пунктами </w:t>
      </w:r>
      <w:r>
        <w:rPr>
          <w:sz w:val="26"/>
          <w:szCs w:val="26"/>
        </w:rPr>
        <w:t>1 – 4 проекта акта</w:t>
      </w:r>
      <w:r w:rsidRPr="00E243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разработчиком устанавливаются максимальная сумма всех одновременно действующих банковских гарантий в размере </w:t>
      </w:r>
      <w:r>
        <w:rPr>
          <w:sz w:val="26"/>
          <w:szCs w:val="26"/>
        </w:rPr>
        <w:br/>
        <w:t xml:space="preserve">10 рублей, а максимальная сумма одной банковской гарантии в размере 1 рубль, </w:t>
      </w:r>
      <w:r>
        <w:rPr>
          <w:sz w:val="26"/>
          <w:szCs w:val="26"/>
        </w:rPr>
        <w:br/>
        <w:t>что является заградительной мерой, направленной на прекращение деятельности указанных банков на рынке данных услуг.</w:t>
      </w:r>
    </w:p>
    <w:p w:rsidR="00C84BF6" w:rsidRDefault="00C84BF6" w:rsidP="003A261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526">
        <w:rPr>
          <w:rFonts w:ascii="Times New Roman" w:hAnsi="Times New Roman" w:cs="Times New Roman"/>
          <w:sz w:val="26"/>
          <w:szCs w:val="26"/>
        </w:rPr>
        <w:t xml:space="preserve">В целях обеспечения защиты законных прав и интересов субъектов предпринимательской и иной экономической деятельности, указанных в проекте акта, разработчику необходимо предусмотреть критерии равнозначного применения </w:t>
      </w:r>
      <w:r w:rsidRPr="00AA5526">
        <w:rPr>
          <w:rFonts w:ascii="Times New Roman" w:hAnsi="Times New Roman" w:cs="Times New Roman"/>
          <w:sz w:val="26"/>
          <w:szCs w:val="26"/>
        </w:rPr>
        <w:br/>
        <w:t>ко всем кредитным организациям, основанные на их конкурентных преимуществах – платежеспособности и устойчивости кредитных организаций.</w:t>
      </w:r>
    </w:p>
    <w:p w:rsidR="00C84BF6" w:rsidRPr="00011436" w:rsidRDefault="00C84BF6" w:rsidP="00E243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П</w:t>
      </w:r>
      <w:r w:rsidRPr="00B8306C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>6</w:t>
      </w:r>
      <w:r w:rsidRPr="00B8306C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 xml:space="preserve"> акта д</w:t>
      </w:r>
      <w:r w:rsidRPr="00E24393">
        <w:rPr>
          <w:sz w:val="26"/>
          <w:szCs w:val="26"/>
        </w:rPr>
        <w:t>ля банков, которые имеют собственные средства (капита</w:t>
      </w:r>
      <w:r>
        <w:rPr>
          <w:sz w:val="26"/>
          <w:szCs w:val="26"/>
        </w:rPr>
        <w:t>л</w:t>
      </w:r>
      <w:r w:rsidRPr="00E24393">
        <w:rPr>
          <w:sz w:val="26"/>
          <w:szCs w:val="26"/>
        </w:rPr>
        <w:t xml:space="preserve">) банка свыше 25 млрд рублей, соответствуют критериям, предусмотренным подпунктами «а» и «б» пункта 1 </w:t>
      </w:r>
      <w:r>
        <w:rPr>
          <w:sz w:val="26"/>
          <w:szCs w:val="26"/>
        </w:rPr>
        <w:t>проекта акта</w:t>
      </w:r>
      <w:r w:rsidRPr="00E24393">
        <w:rPr>
          <w:sz w:val="26"/>
          <w:szCs w:val="26"/>
        </w:rPr>
        <w:t>, и не соответствуют ни одному из критериев, предусмотренных п</w:t>
      </w:r>
      <w:r>
        <w:rPr>
          <w:sz w:val="26"/>
          <w:szCs w:val="26"/>
        </w:rPr>
        <w:t xml:space="preserve">одпунктами «в» и «г» пункта </w:t>
      </w:r>
      <w:r w:rsidRPr="00E24393">
        <w:rPr>
          <w:sz w:val="26"/>
          <w:szCs w:val="26"/>
        </w:rPr>
        <w:t>1</w:t>
      </w:r>
      <w:r>
        <w:rPr>
          <w:sz w:val="26"/>
          <w:szCs w:val="26"/>
        </w:rPr>
        <w:t xml:space="preserve"> проекта акта</w:t>
      </w:r>
      <w:r w:rsidRPr="00E243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Правительство Российской Федерации предлагается наделить правом отдельным решением </w:t>
      </w:r>
      <w:r w:rsidRPr="00B8306C">
        <w:rPr>
          <w:sz w:val="26"/>
          <w:szCs w:val="26"/>
        </w:rPr>
        <w:t>устанав</w:t>
      </w:r>
      <w:r>
        <w:rPr>
          <w:sz w:val="26"/>
          <w:szCs w:val="26"/>
        </w:rPr>
        <w:t xml:space="preserve">ливать </w:t>
      </w:r>
      <w:r w:rsidRPr="00B8306C">
        <w:rPr>
          <w:sz w:val="26"/>
          <w:szCs w:val="26"/>
        </w:rPr>
        <w:t xml:space="preserve">максимальную сумму всех одновременно действующих банковских гарантий, выданных одним банком, </w:t>
      </w:r>
      <w:r w:rsidRPr="001A5B30">
        <w:rPr>
          <w:sz w:val="26"/>
          <w:szCs w:val="26"/>
        </w:rPr>
        <w:t>для принятия банковских гарантий налоговыми органами в целях обеспечения уплаты налогов</w:t>
      </w:r>
      <w:r>
        <w:rPr>
          <w:sz w:val="26"/>
          <w:szCs w:val="26"/>
        </w:rPr>
        <w:t>,</w:t>
      </w:r>
      <w:r w:rsidRPr="00B8306C">
        <w:rPr>
          <w:sz w:val="26"/>
          <w:szCs w:val="26"/>
        </w:rPr>
        <w:t xml:space="preserve"> в размере 20% от величины собственных средств (капитала) банка, а максимальную сумму одной банковской гарантии – в размере 5% от величины собственных средств (капитала) банка, если в отношении банка по состоянию </w:t>
      </w:r>
      <w:r>
        <w:rPr>
          <w:sz w:val="26"/>
          <w:szCs w:val="26"/>
        </w:rPr>
        <w:br/>
      </w:r>
      <w:r w:rsidRPr="00B8306C">
        <w:rPr>
          <w:sz w:val="26"/>
          <w:szCs w:val="26"/>
        </w:rPr>
        <w:t>на 1 января 2015</w:t>
      </w:r>
      <w:r>
        <w:rPr>
          <w:sz w:val="26"/>
          <w:szCs w:val="26"/>
        </w:rPr>
        <w:t> </w:t>
      </w:r>
      <w:r w:rsidRPr="00B8306C">
        <w:rPr>
          <w:sz w:val="26"/>
          <w:szCs w:val="26"/>
        </w:rPr>
        <w:t>г. действуют международные санкции, а та</w:t>
      </w:r>
      <w:r>
        <w:rPr>
          <w:sz w:val="26"/>
          <w:szCs w:val="26"/>
        </w:rPr>
        <w:t xml:space="preserve">кже если банк находится </w:t>
      </w:r>
      <w:r>
        <w:rPr>
          <w:sz w:val="26"/>
          <w:szCs w:val="26"/>
        </w:rPr>
        <w:br/>
      </w:r>
      <w:r w:rsidRPr="00B8306C">
        <w:rPr>
          <w:sz w:val="26"/>
          <w:szCs w:val="26"/>
        </w:rPr>
        <w:t xml:space="preserve">под контролем </w:t>
      </w:r>
      <w:r>
        <w:rPr>
          <w:sz w:val="26"/>
          <w:szCs w:val="26"/>
        </w:rPr>
        <w:t xml:space="preserve">либо </w:t>
      </w:r>
      <w:r w:rsidRPr="00B8306C">
        <w:rPr>
          <w:sz w:val="26"/>
          <w:szCs w:val="26"/>
        </w:rPr>
        <w:t xml:space="preserve">значительным влиянием лиц, в отношении которых по состоянию </w:t>
      </w:r>
      <w:r>
        <w:rPr>
          <w:sz w:val="26"/>
          <w:szCs w:val="26"/>
        </w:rPr>
        <w:br/>
      </w:r>
      <w:r w:rsidRPr="00B8306C">
        <w:rPr>
          <w:sz w:val="26"/>
          <w:szCs w:val="26"/>
        </w:rPr>
        <w:t xml:space="preserve">на </w:t>
      </w:r>
      <w:r w:rsidRPr="00011436">
        <w:rPr>
          <w:sz w:val="26"/>
          <w:szCs w:val="26"/>
        </w:rPr>
        <w:t>1 января 2015 г. действуют международные санкции.</w:t>
      </w:r>
    </w:p>
    <w:p w:rsidR="00C84BF6" w:rsidRDefault="00C84BF6" w:rsidP="00E243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11436">
        <w:rPr>
          <w:sz w:val="26"/>
          <w:szCs w:val="26"/>
        </w:rPr>
        <w:t>При этом остается неясным, исходя из каких критериев Правительство Российской Федерации будет вправе принимать решение об установлении максимальной суммы одной банковской гарантии и максимальной суммы</w:t>
      </w:r>
      <w:r w:rsidRPr="00B8306C">
        <w:rPr>
          <w:sz w:val="26"/>
          <w:szCs w:val="26"/>
        </w:rPr>
        <w:t xml:space="preserve"> всех одновременно действующих банковских гарантий в отношении каждого конкретного банка (иной кредитной организации</w:t>
      </w:r>
      <w:r>
        <w:rPr>
          <w:sz w:val="26"/>
          <w:szCs w:val="26"/>
        </w:rPr>
        <w:t xml:space="preserve">). </w:t>
      </w:r>
    </w:p>
    <w:p w:rsidR="00C84BF6" w:rsidRDefault="00C84BF6" w:rsidP="00E243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участников публичных консультаций, отсутствие четкого порядка принятия решения, включающего условия и критерии отбора банков, которым предоставляется такая преференция, может привести к случаям создания более благоприятных условий для одних банков и ущемления законных прав других банков, </w:t>
      </w:r>
      <w:r>
        <w:rPr>
          <w:sz w:val="26"/>
          <w:szCs w:val="26"/>
        </w:rPr>
        <w:br/>
        <w:t>что будет неизбежно способствовать снижению конкуренции и монополизации на рынке данных услуг.</w:t>
      </w:r>
    </w:p>
    <w:p w:rsidR="00C84BF6" w:rsidRPr="00F75F40" w:rsidRDefault="00C84BF6" w:rsidP="00F75F4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75F40">
        <w:rPr>
          <w:rFonts w:ascii="Times New Roman" w:hAnsi="Times New Roman" w:cs="Times New Roman"/>
          <w:sz w:val="26"/>
          <w:szCs w:val="26"/>
        </w:rPr>
        <w:t xml:space="preserve">. Согласно пункту 10 проекта акта применение банком ограничений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F75F40">
        <w:rPr>
          <w:rFonts w:ascii="Times New Roman" w:hAnsi="Times New Roman" w:cs="Times New Roman"/>
          <w:sz w:val="26"/>
          <w:szCs w:val="26"/>
        </w:rPr>
        <w:t xml:space="preserve">по кредитованию отдельных отраслей, отдельных предприятий (организаций) в связи </w:t>
      </w:r>
      <w:r w:rsidRPr="0000753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07535">
        <w:rPr>
          <w:rFonts w:ascii="Times New Roman" w:hAnsi="Times New Roman" w:cs="Times New Roman"/>
          <w:sz w:val="26"/>
          <w:szCs w:val="26"/>
        </w:rPr>
        <w:t xml:space="preserve"> </w:t>
      </w:r>
      <w:r w:rsidRPr="00F75F40">
        <w:rPr>
          <w:rFonts w:ascii="Times New Roman" w:hAnsi="Times New Roman" w:cs="Times New Roman"/>
          <w:sz w:val="26"/>
          <w:szCs w:val="26"/>
        </w:rPr>
        <w:t>применением к Российской Федерации мер санкционного воздействия, а также наличие рисков (угроз) применения банком таких ограничений, является основанием для принятия решения Правительства Российской Федерации об отказе в принятии налоговыми органами банковских гарантий соответствующего банка в целях обеспечения уплаты налогов.</w:t>
      </w:r>
    </w:p>
    <w:p w:rsidR="00C84BF6" w:rsidRDefault="00C84BF6" w:rsidP="00F75F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участников публичных консультаций, указанное положение проекта акта не содержит исчерпывающего перечня критериев и условий, при несоблюдении которых Правительством Российской Федерации может быть принято решение об отказе </w:t>
      </w:r>
      <w:r>
        <w:rPr>
          <w:sz w:val="26"/>
          <w:szCs w:val="26"/>
        </w:rPr>
        <w:br/>
        <w:t>в принятии налоговыми органами банковских гарантий соответствующего банка.</w:t>
      </w:r>
    </w:p>
    <w:p w:rsidR="00C84BF6" w:rsidRDefault="00C84BF6" w:rsidP="00F75F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проект акта не содержит толкования используемого в пункте 10 проекта акта термина «риски (угрозы) применения банком данных ограничений». </w:t>
      </w:r>
    </w:p>
    <w:p w:rsidR="00C84BF6" w:rsidRDefault="00C84BF6" w:rsidP="00F75F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уже отмечалось выше, отсутствие четкого порядка (условий, критериев) принятия Правительством Российской Федерации указанного решения может оказать </w:t>
      </w:r>
      <w:r>
        <w:rPr>
          <w:sz w:val="26"/>
          <w:szCs w:val="26"/>
        </w:rPr>
        <w:br/>
        <w:t>не только негативное воздействие на рынок услуг по предоставлению банковских гарантий, но и существенно затруднить ведение экономической деятельности и, в первую очередь, при принятии Правительством Российской Федерации решения об отказе в принятии налоговым органом банковской гарантии, ранее выданной участнику экономической деятельности в целях обеспечения уплаты налогов.</w:t>
      </w:r>
    </w:p>
    <w:p w:rsidR="00C84BF6" w:rsidRDefault="00C84BF6" w:rsidP="00F75F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случае принятие Правительством Российской Федерации указанного решения может повлечь за собой необходимость предоставления участником экономической деятельности иного обеспечения уплаты налогов и, как следствие, привести к возникновению убытков от осуществляемой деятельности, связанных </w:t>
      </w:r>
      <w:r>
        <w:rPr>
          <w:sz w:val="26"/>
          <w:szCs w:val="26"/>
        </w:rPr>
        <w:br/>
        <w:t>с нарушением условий контрактов, и к существенному росту затрат на оформление иных видов обеспечения.</w:t>
      </w:r>
    </w:p>
    <w:p w:rsidR="00C84BF6" w:rsidRDefault="00C84BF6" w:rsidP="00F75F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этой связи считаем, что пункт 10 проекта акта нуждается в доработке.</w:t>
      </w:r>
    </w:p>
    <w:p w:rsidR="00C84BF6" w:rsidRDefault="00C84BF6" w:rsidP="004578E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 Также, по мнению Минэкономразвития России, необходима отсрочка введения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действие предлагаемого проектом акта регулирования как минимум до 1 января 2018 г., поскольку срок выданных в настоящее время банковских гарантий составляет, </w:t>
      </w:r>
      <w:r>
        <w:rPr>
          <w:rFonts w:ascii="Times New Roman" w:hAnsi="Times New Roman" w:cs="Times New Roman"/>
          <w:sz w:val="26"/>
          <w:szCs w:val="26"/>
        </w:rPr>
        <w:br/>
        <w:t xml:space="preserve">в среднем, 9 месяцев, а для применения максимальной суммы банковской гарантии </w:t>
      </w:r>
      <w:r>
        <w:rPr>
          <w:rFonts w:ascii="Times New Roman" w:hAnsi="Times New Roman" w:cs="Times New Roman"/>
          <w:sz w:val="26"/>
          <w:szCs w:val="26"/>
        </w:rPr>
        <w:br/>
        <w:t xml:space="preserve">и урегулирования условий выдачи банковских гарантий потребуется переходный </w:t>
      </w:r>
      <w:r>
        <w:rPr>
          <w:rFonts w:ascii="Times New Roman" w:hAnsi="Times New Roman" w:cs="Times New Roman"/>
          <w:sz w:val="26"/>
          <w:szCs w:val="26"/>
        </w:rPr>
        <w:br/>
        <w:t>период. Наряду с этим проект акта целесообразно дополнить положениями, исключающими возможность применения предлагаемого им регулирования в отношении ранее выданных банковских гарантий до истечения срока их действия.</w:t>
      </w:r>
    </w:p>
    <w:p w:rsidR="00C84BF6" w:rsidRDefault="00C84BF6" w:rsidP="004578E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B55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>представленной</w:t>
      </w:r>
      <w:r w:rsidRPr="003B6B55">
        <w:rPr>
          <w:rFonts w:ascii="Times New Roman" w:hAnsi="Times New Roman" w:cs="Times New Roman"/>
          <w:sz w:val="26"/>
          <w:szCs w:val="26"/>
        </w:rPr>
        <w:t xml:space="preserve"> редакции проекта акта с учетом информации, представленной разработчиком в сводном отчете, а также позиции субъектов предпринимательской и иной экономической деятельности, Минэкономразвития России сделан вывод об отсутствии достаточного обоснования решения заявленной проблемы предложенным способом регулирования,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3B6B55">
        <w:rPr>
          <w:rFonts w:ascii="Times New Roman" w:hAnsi="Times New Roman" w:cs="Times New Roman"/>
          <w:sz w:val="26"/>
          <w:szCs w:val="26"/>
        </w:rPr>
        <w:t>а также о наличии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4BF6" w:rsidRDefault="00C84BF6" w:rsidP="004578E9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A1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2E2DA1">
        <w:rPr>
          <w:rFonts w:ascii="Times New Roman" w:hAnsi="Times New Roman" w:cs="Times New Roman"/>
          <w:sz w:val="26"/>
          <w:szCs w:val="26"/>
        </w:rPr>
        <w:t>л. в 1 экз.</w:t>
      </w:r>
    </w:p>
    <w:p w:rsidR="00C84BF6" w:rsidRDefault="00C84BF6" w:rsidP="004578E9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BF6" w:rsidRDefault="00C84BF6" w:rsidP="004578E9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84BF6" w:rsidSect="00682056">
          <w:headerReference w:type="default" r:id="rId8"/>
          <w:pgSz w:w="11906" w:h="16838"/>
          <w:pgMar w:top="1224" w:right="567" w:bottom="993" w:left="1134" w:header="709" w:footer="822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336" w:type="dxa"/>
        <w:tblLook w:val="00A0"/>
      </w:tblPr>
      <w:tblGrid>
        <w:gridCol w:w="4841"/>
      </w:tblGrid>
      <w:tr w:rsidR="00C84BF6" w:rsidRPr="00DA752E" w:rsidTr="005078D7">
        <w:trPr>
          <w:jc w:val="right"/>
        </w:trPr>
        <w:tc>
          <w:tcPr>
            <w:tcW w:w="4841" w:type="dxa"/>
          </w:tcPr>
          <w:p w:rsidR="00C84BF6" w:rsidRPr="00657214" w:rsidRDefault="00C84BF6" w:rsidP="005078D7">
            <w:pPr>
              <w:jc w:val="center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>Приложение</w:t>
            </w:r>
          </w:p>
          <w:p w:rsidR="00C84BF6" w:rsidRPr="00DA752E" w:rsidRDefault="00C84BF6" w:rsidP="005078D7">
            <w:pPr>
              <w:jc w:val="both"/>
              <w:rPr>
                <w:sz w:val="26"/>
                <w:szCs w:val="26"/>
              </w:rPr>
            </w:pPr>
            <w:r w:rsidRPr="00657214">
              <w:rPr>
                <w:sz w:val="26"/>
                <w:szCs w:val="26"/>
              </w:rPr>
              <w:t xml:space="preserve">к заключению об оценке регулирующего воздействия на проект </w:t>
            </w:r>
            <w:r w:rsidRPr="00CD54FF">
              <w:rPr>
                <w:sz w:val="26"/>
                <w:szCs w:val="26"/>
              </w:rPr>
              <w:t>постановления Правительства Российской Федерации</w:t>
            </w:r>
          </w:p>
        </w:tc>
      </w:tr>
    </w:tbl>
    <w:p w:rsidR="00C84BF6" w:rsidRPr="00865C75" w:rsidRDefault="00C84BF6" w:rsidP="0045737C">
      <w:pPr>
        <w:jc w:val="center"/>
        <w:rPr>
          <w:b/>
          <w:sz w:val="26"/>
          <w:szCs w:val="26"/>
        </w:rPr>
      </w:pPr>
    </w:p>
    <w:p w:rsidR="00C84BF6" w:rsidRDefault="00C84BF6" w:rsidP="0045737C">
      <w:pPr>
        <w:jc w:val="center"/>
        <w:rPr>
          <w:b/>
          <w:sz w:val="26"/>
          <w:szCs w:val="26"/>
        </w:rPr>
      </w:pPr>
      <w:r w:rsidRPr="009D7A77">
        <w:rPr>
          <w:b/>
          <w:sz w:val="26"/>
          <w:szCs w:val="26"/>
        </w:rPr>
        <w:t xml:space="preserve">Сводная </w:t>
      </w:r>
      <w:r w:rsidRPr="00591B9C">
        <w:rPr>
          <w:b/>
          <w:sz w:val="26"/>
          <w:szCs w:val="26"/>
        </w:rPr>
        <w:t>таблица не учтенных в заключении об оценке регулирующего воздействия замечаний</w:t>
      </w:r>
      <w:r>
        <w:rPr>
          <w:b/>
          <w:sz w:val="26"/>
          <w:szCs w:val="26"/>
        </w:rPr>
        <w:t xml:space="preserve"> и предложений представителей</w:t>
      </w:r>
      <w:r w:rsidRPr="009D7A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предпринимательского сообщества </w:t>
      </w:r>
      <w:r w:rsidRPr="009D7A77">
        <w:rPr>
          <w:b/>
          <w:sz w:val="26"/>
          <w:szCs w:val="26"/>
        </w:rPr>
        <w:t xml:space="preserve">по </w:t>
      </w:r>
      <w:r w:rsidRPr="00CD54FF">
        <w:rPr>
          <w:b/>
          <w:sz w:val="26"/>
          <w:szCs w:val="26"/>
        </w:rPr>
        <w:t xml:space="preserve">проекту постановления Правительства Российской Федерации </w:t>
      </w:r>
      <w:r>
        <w:rPr>
          <w:b/>
          <w:sz w:val="26"/>
          <w:szCs w:val="26"/>
        </w:rPr>
        <w:br/>
      </w:r>
      <w:r w:rsidRPr="00CD54FF">
        <w:rPr>
          <w:b/>
          <w:sz w:val="26"/>
          <w:szCs w:val="26"/>
        </w:rPr>
        <w:t xml:space="preserve">«Об установлении максимальной суммы одной банковской гарантии и максимальной суммы всех одновременно действующих банковских гарантий, выданных одним банком для принятия банковских гарантий </w:t>
      </w:r>
      <w:r>
        <w:rPr>
          <w:b/>
          <w:sz w:val="26"/>
          <w:szCs w:val="26"/>
        </w:rPr>
        <w:br/>
      </w:r>
      <w:r w:rsidRPr="00CD54FF">
        <w:rPr>
          <w:b/>
          <w:sz w:val="26"/>
          <w:szCs w:val="26"/>
        </w:rPr>
        <w:t>налоговыми органами в целях обеспечения уплаты налогов»</w:t>
      </w:r>
    </w:p>
    <w:p w:rsidR="00C84BF6" w:rsidRDefault="00C84BF6" w:rsidP="0045737C">
      <w:pPr>
        <w:jc w:val="center"/>
        <w:rPr>
          <w:b/>
          <w:sz w:val="26"/>
          <w:szCs w:val="26"/>
        </w:rPr>
      </w:pPr>
    </w:p>
    <w:tbl>
      <w:tblPr>
        <w:tblW w:w="15178" w:type="dxa"/>
        <w:jc w:val="center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1518"/>
        <w:gridCol w:w="3083"/>
      </w:tblGrid>
      <w:tr w:rsidR="00C84BF6" w:rsidRPr="00406B24" w:rsidTr="005078D7">
        <w:trPr>
          <w:tblHeader/>
          <w:jc w:val="center"/>
        </w:trPr>
        <w:tc>
          <w:tcPr>
            <w:tcW w:w="577" w:type="dxa"/>
            <w:vAlign w:val="center"/>
          </w:tcPr>
          <w:p w:rsidR="00C84BF6" w:rsidRPr="00406B24" w:rsidRDefault="00C84BF6" w:rsidP="005078D7">
            <w:pPr>
              <w:jc w:val="center"/>
              <w:rPr>
                <w:b/>
              </w:rPr>
            </w:pPr>
            <w:r w:rsidRPr="00406B24">
              <w:rPr>
                <w:b/>
              </w:rPr>
              <w:t>№</w:t>
            </w:r>
          </w:p>
        </w:tc>
        <w:tc>
          <w:tcPr>
            <w:tcW w:w="11518" w:type="dxa"/>
            <w:vAlign w:val="center"/>
          </w:tcPr>
          <w:p w:rsidR="00C84BF6" w:rsidRPr="00406B24" w:rsidRDefault="00C84BF6" w:rsidP="005078D7">
            <w:pPr>
              <w:jc w:val="center"/>
            </w:pPr>
            <w:r w:rsidRPr="00406B24">
              <w:rPr>
                <w:b/>
              </w:rPr>
              <w:t>Замечания и (или) предложения</w:t>
            </w:r>
          </w:p>
        </w:tc>
        <w:tc>
          <w:tcPr>
            <w:tcW w:w="3083" w:type="dxa"/>
            <w:vAlign w:val="center"/>
          </w:tcPr>
          <w:p w:rsidR="00C84BF6" w:rsidRPr="00406B24" w:rsidRDefault="00C84BF6" w:rsidP="005078D7">
            <w:pPr>
              <w:jc w:val="center"/>
              <w:rPr>
                <w:b/>
              </w:rPr>
            </w:pPr>
            <w:r w:rsidRPr="00406B24">
              <w:rPr>
                <w:b/>
              </w:rPr>
              <w:t xml:space="preserve">Субъекты предпринимательской </w:t>
            </w:r>
            <w:r>
              <w:rPr>
                <w:b/>
              </w:rPr>
              <w:br/>
            </w:r>
            <w:r w:rsidRPr="00406B24">
              <w:rPr>
                <w:b/>
              </w:rPr>
              <w:t>и иной деятельности</w:t>
            </w:r>
          </w:p>
        </w:tc>
      </w:tr>
      <w:tr w:rsidR="00C84BF6" w:rsidRPr="00406B24" w:rsidTr="005078D7">
        <w:trPr>
          <w:trHeight w:val="538"/>
          <w:jc w:val="center"/>
        </w:trPr>
        <w:tc>
          <w:tcPr>
            <w:tcW w:w="577" w:type="dxa"/>
            <w:vAlign w:val="center"/>
          </w:tcPr>
          <w:p w:rsidR="00C84BF6" w:rsidRPr="004A7299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В</w:t>
            </w:r>
            <w:r w:rsidRPr="00051FC8">
              <w:rPr>
                <w:rFonts w:cs="Calibri"/>
              </w:rPr>
              <w:t xml:space="preserve"> случае принятия данного проекта</w:t>
            </w:r>
            <w:r>
              <w:rPr>
                <w:rFonts w:cs="Calibri"/>
              </w:rPr>
              <w:t xml:space="preserve"> акта могут возникнуть следующие </w:t>
            </w:r>
            <w:r w:rsidRPr="00051FC8">
              <w:rPr>
                <w:rFonts w:cs="Calibri"/>
              </w:rPr>
              <w:t xml:space="preserve">риски и негативные последствия </w:t>
            </w:r>
            <w:r>
              <w:rPr>
                <w:rFonts w:cs="Calibri"/>
              </w:rPr>
              <w:br/>
            </w:r>
            <w:r w:rsidRPr="00051FC8">
              <w:rPr>
                <w:rFonts w:cs="Calibri"/>
              </w:rPr>
              <w:t>для бизнеса</w:t>
            </w:r>
            <w:r>
              <w:rPr>
                <w:rFonts w:cs="Calibri"/>
              </w:rPr>
              <w:t>.</w:t>
            </w:r>
          </w:p>
          <w:p w:rsidR="00C84BF6" w:rsidRPr="00021D1A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Ограничение добросовестных банков по величине лимитов предоставления данного вида гарантий. Выводы разработчика субъективны и не аргументированы. Целесообразно предоставить статистику недобросовестного исполнения банками обязательств по предоставленным гарантиям в пользу налоговых органов.</w:t>
            </w:r>
          </w:p>
        </w:tc>
        <w:tc>
          <w:tcPr>
            <w:tcW w:w="3083" w:type="dxa"/>
          </w:tcPr>
          <w:p w:rsidR="00C84BF6" w:rsidRPr="003F5147" w:rsidRDefault="00C84BF6" w:rsidP="005078D7">
            <w:pPr>
              <w:jc w:val="center"/>
            </w:pPr>
            <w:r w:rsidRPr="00775C95">
              <w:rPr>
                <w:rFonts w:cs="Calibri"/>
                <w:szCs w:val="20"/>
              </w:rPr>
              <w:t>ПАО</w:t>
            </w:r>
            <w:r>
              <w:rPr>
                <w:rFonts w:cs="Calibri"/>
                <w:szCs w:val="20"/>
              </w:rPr>
              <w:t xml:space="preserve"> </w:t>
            </w:r>
            <w:r w:rsidRPr="00775C95">
              <w:rPr>
                <w:rFonts w:cs="Calibri"/>
                <w:szCs w:val="20"/>
              </w:rPr>
              <w:t>АКБ</w:t>
            </w:r>
            <w:r>
              <w:rPr>
                <w:rFonts w:cs="Calibri"/>
                <w:szCs w:val="20"/>
              </w:rPr>
              <w:t xml:space="preserve"> </w:t>
            </w:r>
            <w:r w:rsidRPr="00775C95">
              <w:rPr>
                <w:rFonts w:cs="Calibri"/>
                <w:szCs w:val="20"/>
              </w:rPr>
              <w:t>«Связь-Банк»</w:t>
            </w:r>
          </w:p>
        </w:tc>
      </w:tr>
      <w:tr w:rsidR="00C84BF6" w:rsidRPr="00406B24" w:rsidTr="005078D7">
        <w:trPr>
          <w:trHeight w:val="568"/>
          <w:jc w:val="center"/>
        </w:trPr>
        <w:tc>
          <w:tcPr>
            <w:tcW w:w="577" w:type="dxa"/>
            <w:vAlign w:val="center"/>
          </w:tcPr>
          <w:p w:rsidR="00C84BF6" w:rsidRPr="004A7299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051FC8">
              <w:rPr>
                <w:rFonts w:cs="Calibri"/>
              </w:rPr>
              <w:t xml:space="preserve">роект акта </w:t>
            </w:r>
            <w:r>
              <w:rPr>
                <w:rFonts w:cs="Calibri"/>
              </w:rPr>
              <w:t>с</w:t>
            </w:r>
            <w:r w:rsidRPr="00051FC8">
              <w:rPr>
                <w:rFonts w:cs="Calibri"/>
              </w:rPr>
              <w:t>одержит нормы, противоречащие действующему законодательству</w:t>
            </w:r>
            <w:r>
              <w:rPr>
                <w:rFonts w:cs="Calibri"/>
              </w:rPr>
              <w:t>.</w:t>
            </w:r>
          </w:p>
          <w:p w:rsidR="00C84BF6" w:rsidRPr="00051FC8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п. 5 проекта Постановления лишен экономического смысла и должен быть проанализирован на предмет его соответствия антимонопольному законодательству</w:t>
            </w:r>
          </w:p>
        </w:tc>
        <w:tc>
          <w:tcPr>
            <w:tcW w:w="3083" w:type="dxa"/>
          </w:tcPr>
          <w:p w:rsidR="00C84BF6" w:rsidRPr="003F5147" w:rsidRDefault="00C84BF6" w:rsidP="005078D7">
            <w:pPr>
              <w:jc w:val="center"/>
            </w:pPr>
            <w:r w:rsidRPr="00775C95">
              <w:rPr>
                <w:rFonts w:cs="Calibri"/>
                <w:szCs w:val="20"/>
              </w:rPr>
              <w:t>ПАО</w:t>
            </w:r>
            <w:r>
              <w:rPr>
                <w:rFonts w:cs="Calibri"/>
                <w:szCs w:val="20"/>
              </w:rPr>
              <w:t xml:space="preserve"> </w:t>
            </w:r>
            <w:r w:rsidRPr="00775C95">
              <w:rPr>
                <w:rFonts w:cs="Calibri"/>
                <w:szCs w:val="20"/>
              </w:rPr>
              <w:t>АКБ</w:t>
            </w:r>
            <w:r>
              <w:rPr>
                <w:rFonts w:cs="Calibri"/>
                <w:szCs w:val="20"/>
              </w:rPr>
              <w:t xml:space="preserve"> </w:t>
            </w:r>
            <w:r w:rsidRPr="00775C95">
              <w:rPr>
                <w:rFonts w:cs="Calibri"/>
                <w:szCs w:val="20"/>
              </w:rPr>
              <w:t>«Связь-Банк»</w:t>
            </w:r>
          </w:p>
        </w:tc>
      </w:tr>
      <w:tr w:rsidR="00C84BF6" w:rsidRPr="00406B24" w:rsidTr="005078D7">
        <w:trPr>
          <w:trHeight w:val="157"/>
          <w:jc w:val="center"/>
        </w:trPr>
        <w:tc>
          <w:tcPr>
            <w:tcW w:w="577" w:type="dxa"/>
            <w:vAlign w:val="center"/>
          </w:tcPr>
          <w:p w:rsidR="00C84BF6" w:rsidRPr="004A7299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465C5F">
              <w:rPr>
                <w:rFonts w:cs="Calibri"/>
              </w:rPr>
              <w:t xml:space="preserve">   На наш взгляд проблема повышения надежности Банков для предоставления гарантий в пользу  налоговых органов актуальна. Однако предложенные в Проекте </w:t>
            </w:r>
            <w:r>
              <w:rPr>
                <w:rFonts w:cs="Calibri"/>
              </w:rPr>
              <w:t>акта</w:t>
            </w:r>
            <w:r w:rsidRPr="00465C5F">
              <w:rPr>
                <w:rFonts w:cs="Calibri"/>
              </w:rPr>
              <w:t xml:space="preserve"> меры могут привести к негативным последствиям, как для развития российского бизнеса, так и для экономики России в целом (см. ниже). </w:t>
            </w:r>
            <w:r>
              <w:rPr>
                <w:rFonts w:cs="Calibri"/>
              </w:rPr>
              <w:br/>
            </w:r>
            <w:r w:rsidRPr="00465C5F">
              <w:rPr>
                <w:rFonts w:cs="Calibri"/>
              </w:rPr>
              <w:t>Мы предлагаем альтернативные критерии, которые, как мы полагаем, отвечают требованиям о надежности Банков для предоставления гарантий в пользу налоговых органов (в частности, размер капитала и наличие рейтинга по национальной рейтинговой шкале не ниже уровня "А") (см. ниже).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65C5F">
              <w:rPr>
                <w:rFonts w:cs="Calibri"/>
                <w:szCs w:val="20"/>
              </w:rPr>
              <w:t>«БНП ПАРИБА БАНК» 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18" w:type="dxa"/>
          </w:tcPr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>Фактически максимальная сумма всех одновременно действующих банковских гарантий для большинства банков в случае принятия изменений составит 1% от капитала банка, что значительно жестче требований нормативов ЦБ РФ к финансовому состоянию банков.</w:t>
            </w:r>
          </w:p>
          <w:p w:rsidR="00C84BF6" w:rsidRPr="00465C5F" w:rsidRDefault="00C84BF6" w:rsidP="005078D7">
            <w:pPr>
              <w:jc w:val="both"/>
            </w:pPr>
            <w:r w:rsidRPr="00465C5F">
              <w:t>Принятие предлагаемых изменений может привести к негативным последствиям как для развития российского бизнеса, так и для экономики России в целом:</w:t>
            </w:r>
          </w:p>
          <w:p w:rsidR="00C84BF6" w:rsidRPr="00465C5F" w:rsidRDefault="00C84BF6" w:rsidP="0045737C">
            <w:pPr>
              <w:pStyle w:val="ListParagraph"/>
              <w:numPr>
                <w:ilvl w:val="0"/>
                <w:numId w:val="8"/>
              </w:numPr>
              <w:ind w:left="0" w:firstLine="317"/>
              <w:contextualSpacing w:val="0"/>
              <w:jc w:val="both"/>
            </w:pPr>
            <w:r w:rsidRPr="00465C5F">
              <w:t>Предлагаемые максимальные суммы всех одновременно действующих налоговых гарантий, выданных одним банком, не соответствуют реальным возможностям банков и рискам, которые могут принимать банки, в том числе, по нормативным документам Банка России.</w:t>
            </w:r>
          </w:p>
          <w:p w:rsidR="00C84BF6" w:rsidRPr="00465C5F" w:rsidRDefault="00C84BF6" w:rsidP="005078D7">
            <w:pPr>
              <w:jc w:val="both"/>
            </w:pPr>
            <w:r w:rsidRPr="00465C5F">
              <w:t xml:space="preserve">Заниженные максимальные суммы налоговых гарантий увеличат стоимость таких гарантий для плательщиков налоговых сборов. Стоимость банковских гарантий, выдаваемых банками для обеспечения иных обязательств юридических лиц, существенно ниже стоимости налоговых гарантий. </w:t>
            </w:r>
          </w:p>
          <w:p w:rsidR="00C84BF6" w:rsidRPr="00465C5F" w:rsidRDefault="00C84BF6" w:rsidP="005078D7">
            <w:pPr>
              <w:jc w:val="both"/>
            </w:pPr>
            <w:r w:rsidRPr="00465C5F">
              <w:t>Увеличение стоимости гарантий ведет к тому, что не все потенциальные плательщики налоговых сборов могут воспользоваться данным способом обеспечения, следовательно, они не смогут развивать свой бизнес и, соответственно, увеличивать поступления в бюджетную систему Р</w:t>
            </w:r>
            <w:r>
              <w:t xml:space="preserve">оссийской </w:t>
            </w:r>
            <w:r w:rsidRPr="00465C5F">
              <w:t>Ф</w:t>
            </w:r>
            <w:r>
              <w:t>едерации</w:t>
            </w:r>
            <w:r w:rsidRPr="00465C5F">
              <w:t>.</w:t>
            </w:r>
          </w:p>
          <w:p w:rsidR="00C84BF6" w:rsidRPr="00465C5F" w:rsidRDefault="00C84BF6" w:rsidP="005078D7">
            <w:pPr>
              <w:jc w:val="both"/>
            </w:pPr>
            <w:r w:rsidRPr="00465C5F">
              <w:t>С другой стороны, современные тенденции в налоговом регулировании приводят к увеличению спроса плательщиков налоговых сборов на банковские гарантии. При этом реальной возможности у банков выдавать такие гарантии не будет из-за ограничения максимальных сумм гарантий.</w:t>
            </w:r>
          </w:p>
          <w:p w:rsidR="00C84BF6" w:rsidRPr="00465C5F" w:rsidRDefault="00C84BF6" w:rsidP="0045737C">
            <w:pPr>
              <w:pStyle w:val="ListParagraph"/>
              <w:numPr>
                <w:ilvl w:val="0"/>
                <w:numId w:val="8"/>
              </w:numPr>
              <w:ind w:left="0" w:firstLine="317"/>
              <w:contextualSpacing w:val="0"/>
              <w:jc w:val="both"/>
            </w:pPr>
            <w:r w:rsidRPr="00465C5F">
              <w:t>Банк России, регулируя банковскую деятельность в Российской Федерации, также проводит оценку максимальных рисков, которые могут брать на себя банки, в том числе с целью недопущения банкротства банка.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>Так, инструкцией Банка России от 03.12.2012 №139-И «Об обязательных нормативах банков» установлен норматив достаточности собственных средств (капитала) банка (Н1), который ограничивает риск несостоятельности банка и определяет требования по минимальной величине собственных средств (капитала) банка, необходимых для покрытия кредитного, операционного и рыночного рисков. Норматив Н1 определяется как отношение размера собственных средств (капитала) банка и суммы его активов, взвешенных по уровню риска.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 xml:space="preserve">Минимально допустимое числовое значение норматива </w:t>
            </w:r>
            <w:hyperlink r:id="rId9" w:history="1">
              <w:r w:rsidRPr="00465C5F">
                <w:t>Н1</w:t>
              </w:r>
            </w:hyperlink>
            <w:r w:rsidRPr="00465C5F">
              <w:t xml:space="preserve"> установлено в размере 8 %.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>Следовательно, Банк России признает, что банки могут брать на себя риски по сумме, в 8 раз превышающей капитал банка. При этом, определяя норматив Н1, учитывается анализ качества рисков банков, которым налоговые органы не обладают.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>Указанной инструкцией установлен также и норматив максимального размера риска банка на одного заемщика или группу связанных заемщиков (Н6), который ограничивает кредитный риск банка в отношении одного заемщика или группы связанных заемщиков и определяет максимальное отношение совокупной суммы кредитных требований банка к заемщику или группе связанных заемщиков к собственным средствам (капиталу) банка.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>Максимально допустимое значение данного норматива составляет 25%.</w:t>
            </w:r>
          </w:p>
          <w:p w:rsidR="00C84BF6" w:rsidRPr="00465C5F" w:rsidRDefault="00C84BF6" w:rsidP="005078D7">
            <w:pPr>
              <w:jc w:val="both"/>
            </w:pPr>
            <w:r>
              <w:t>   </w:t>
            </w:r>
            <w:r w:rsidRPr="00465C5F">
              <w:t xml:space="preserve">Таким образом, Банк России, оценивая банковские риски, считает возможным для существования стабильной банковской системы выдачу банками кредитов одному заемщику на сумму не более 25% </w:t>
            </w:r>
            <w:r>
              <w:br/>
            </w:r>
            <w:r w:rsidRPr="00465C5F">
              <w:t>от капитала, что больше, чем установленные максимальные суммы налоговых гарантий.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t>   </w:t>
            </w:r>
            <w:r w:rsidRPr="00465C5F">
              <w:t xml:space="preserve">Считаем предлагаемую нами редакцию разумным компромиссом между интересами налоговых органов </w:t>
            </w:r>
            <w:r>
              <w:br/>
            </w:r>
            <w:r w:rsidRPr="00465C5F">
              <w:t>и банковским сообществом.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65C5F">
              <w:rPr>
                <w:rFonts w:cs="Calibri"/>
                <w:szCs w:val="20"/>
              </w:rPr>
              <w:t>«БНП ПАРИБА БАНК» 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18" w:type="dxa"/>
          </w:tcPr>
          <w:p w:rsidR="00C84BF6" w:rsidRPr="00867C33" w:rsidRDefault="00C84BF6" w:rsidP="005078D7">
            <w:pPr>
              <w:tabs>
                <w:tab w:val="left" w:pos="426"/>
              </w:tabs>
              <w:jc w:val="both"/>
            </w:pPr>
            <w:r w:rsidRPr="00867C33">
              <w:t>   Существуют менее затратные и более эффективные способы решения проблемы.</w:t>
            </w:r>
          </w:p>
          <w:p w:rsidR="00C84BF6" w:rsidRPr="00867C33" w:rsidRDefault="00C84BF6" w:rsidP="005078D7">
            <w:pPr>
              <w:jc w:val="both"/>
            </w:pPr>
            <w:r w:rsidRPr="00867C33">
              <w:t xml:space="preserve">1/ Разрешить банкам </w:t>
            </w:r>
          </w:p>
          <w:p w:rsidR="00C84BF6" w:rsidRPr="00867C33" w:rsidRDefault="00C84BF6" w:rsidP="005078D7">
            <w:pPr>
              <w:jc w:val="both"/>
            </w:pPr>
            <w:r w:rsidRPr="00867C33">
              <w:t>(а) включенным в один из перечней, а именно:</w:t>
            </w:r>
          </w:p>
          <w:p w:rsidR="00C84BF6" w:rsidRPr="00867C33" w:rsidRDefault="00C84BF6" w:rsidP="004573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4" w:hanging="284"/>
              <w:jc w:val="both"/>
            </w:pPr>
            <w:r w:rsidRPr="00867C33">
              <w:t>банкам, находящимся под прямым  или косвенным контролем ЦБ или в целом РФ;</w:t>
            </w:r>
          </w:p>
          <w:p w:rsidR="00C84BF6" w:rsidRPr="00867C33" w:rsidRDefault="00C84BF6" w:rsidP="004573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4" w:hanging="284"/>
              <w:jc w:val="both"/>
            </w:pPr>
            <w:r w:rsidRPr="00867C33">
              <w:t>банкам, которые заключили с АСВ специальные договоры;</w:t>
            </w:r>
          </w:p>
          <w:p w:rsidR="00C84BF6" w:rsidRPr="00867C33" w:rsidRDefault="00C84BF6" w:rsidP="004573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4" w:hanging="284"/>
              <w:jc w:val="both"/>
            </w:pPr>
            <w:r w:rsidRPr="00867C33">
              <w:t>системно значимым кредитным организациям;</w:t>
            </w:r>
          </w:p>
          <w:p w:rsidR="00C84BF6" w:rsidRPr="00867C33" w:rsidRDefault="00C84BF6" w:rsidP="0045737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4" w:hanging="284"/>
              <w:jc w:val="both"/>
            </w:pPr>
            <w:r w:rsidRPr="00867C33">
              <w:t>банкам, попавшим под действие международных санкций</w:t>
            </w:r>
          </w:p>
          <w:p w:rsidR="00C84BF6" w:rsidRPr="00867C33" w:rsidRDefault="00C84BF6" w:rsidP="005078D7">
            <w:pPr>
              <w:jc w:val="both"/>
            </w:pPr>
            <w:r w:rsidRPr="00867C33">
              <w:t>ИЛИ</w:t>
            </w:r>
          </w:p>
          <w:p w:rsidR="00C84BF6" w:rsidRPr="00867C33" w:rsidRDefault="00C84BF6" w:rsidP="005078D7">
            <w:pPr>
              <w:jc w:val="both"/>
            </w:pPr>
            <w:r w:rsidRPr="00867C33">
              <w:t>(б) не включенным ни в один из вышеуказанных перечней, однако имеющим рейтинг национального рейтингового агентства на уровне не ниже А- (на переходный период возможно использовать сопоставимый рейтинг международных рейтинговых агентств) и с капиталом более 5 млрд рублей</w:t>
            </w:r>
          </w:p>
          <w:p w:rsidR="00C84BF6" w:rsidRPr="00867C33" w:rsidRDefault="00C84BF6" w:rsidP="005078D7">
            <w:pPr>
              <w:jc w:val="both"/>
            </w:pPr>
            <w:r w:rsidRPr="00867C33">
              <w:t xml:space="preserve">Выпускать налоговые гарантии в размере 20% от капитала для всех гарантий и 5% от капитала для одной гарантии. 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867C33">
              <w:t>2/ Разрешить банкам, не включенным ни в один из вышеуказанных перечней, однако имеющим рейтинг национального рейтингового агентства на уровне не ниже А- (на переходный период возможно использовать сопоставимый рейтинг международных рейтинговых агентств) и с капиталом от 1 до 5 млрд. рублей, выпускать налоговые гарантии в размере 5% от капитала для всех гарантий и 1% от капитала для одной гарантии.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65C5F">
              <w:rPr>
                <w:rFonts w:cs="Calibri"/>
                <w:szCs w:val="20"/>
              </w:rPr>
              <w:t>«БНП ПАРИБА БАНК» 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18" w:type="dxa"/>
          </w:tcPr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Также «ОПОРА РОССИИ» обращает внимание, что с 1 января 2014 года предоставление банковской гарантии осуществляют только те банки, которые вошли в специальный правительственный перечень, то есть имеющие определенный статус доверия. В этой связи риск неполучения уплаты налогов является очень низким.</w:t>
            </w:r>
          </w:p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В свою очередь, в соответствии с положениями статьи 368 ГК РФ в случае возможной недобросовестности декларанта, налоговые органы не несут риск возможности неуплаты налогов, поскольку все риски ответственности берёт на себя банк или иная кредитная организация, выдавшие гарантию.</w:t>
            </w:r>
          </w:p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Таким образом, установление предельно-допустимой суммы банковских гарантий не может являться решением проблемы неуплаты налогов в бюджет Российской Федерации.</w:t>
            </w:r>
          </w:p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Также «ОПОРА РОССИИ» отмечает о наличии опасений по поводу навязывания банкам услуг системы страхования вкладов физическим лиц, предоставляемых государственным агентством по страхованию вкладов.</w:t>
            </w:r>
          </w:p>
        </w:tc>
        <w:tc>
          <w:tcPr>
            <w:tcW w:w="3083" w:type="dxa"/>
          </w:tcPr>
          <w:p w:rsidR="00C84BF6" w:rsidRPr="004971D7" w:rsidRDefault="00C84BF6" w:rsidP="005078D7">
            <w:pPr>
              <w:jc w:val="center"/>
              <w:rPr>
                <w:rFonts w:cs="Calibri"/>
                <w:szCs w:val="20"/>
              </w:rPr>
            </w:pPr>
            <w:r w:rsidRPr="0046663F">
              <w:rPr>
                <w:szCs w:val="26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18" w:type="dxa"/>
          </w:tcPr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 xml:space="preserve">В соответствии с пунктом 5 рассматриваемого проекта факт отсутствия участия банка в системе обязательного страхования вкладов физических лиц влечет установление максимальной суммы всех одновременно действующих банковских гарантий, выданных одним банком в размере 10 руб., </w:t>
            </w:r>
            <w:r>
              <w:br/>
            </w:r>
            <w:r w:rsidRPr="00675E72">
              <w:t>а максимальную сумму одной банковской гарантии в размере 1 руб.</w:t>
            </w:r>
          </w:p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Иными словами, любой банк, который не принимает участие в системе страхования вкладов физических лишается возможности осуществлять выдачу банковских гарантий, что не может являться допустимым.</w:t>
            </w:r>
          </w:p>
          <w:p w:rsidR="00C84BF6" w:rsidRPr="00675E72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5E72">
              <w:t>«ОПОРА РОССИИ» обращает внимание на недопустимость не только подобного метода навязывания услуг Агентства по страхованию вкладов, но и столь существенного ограничения деятельности банков, которые не участвуют в государственной системе страхования вкладов физических лиц.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6663F">
              <w:rPr>
                <w:szCs w:val="26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18" w:type="dxa"/>
          </w:tcPr>
          <w:p w:rsidR="00C84BF6" w:rsidRPr="0067749F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749F">
              <w:t>Помимо вышеуказанного, особые опасения у «ОПОРЫ РОССИИ» вызывает пункт 6 рассматриваемого проекта, поскольку в нем содержится явный коррупциогенный фактор.</w:t>
            </w:r>
          </w:p>
          <w:p w:rsidR="00C84BF6" w:rsidRPr="0067749F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749F">
              <w:t>В соответствии с вышеуказанным положением, Правительство наделяется полномочием самостоятельно по собственному усмотрению предоставлять отдельные привилегии банкам, собственные средства (капитал) которых составляет более 25 млрд. рублей и если в отношении банка по состоянию на 1 января 2015 г. действуют международные санкции, а также банк находится под контролем либо значительным влиянием лиц, в отношении которых по состоянию на 1 января 2015 г. действуют международные санкции.</w:t>
            </w:r>
          </w:p>
          <w:p w:rsidR="00C84BF6" w:rsidRPr="0067749F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67749F">
              <w:t>Таким образом, согласно указанным нормам устанавливаются отдельные преференции (или ограничения) на государственном уровне для лиц, которых так или иначе затронули международные санкции ЕС и США. По мнению «ОПОРЫ РОССИИ», принятие международных санкций в силу пункта 3 статьи 401 Г</w:t>
            </w:r>
            <w:r>
              <w:t>ражданского кодекса Российской Федерации</w:t>
            </w:r>
            <w:r w:rsidRPr="0067749F">
              <w:t xml:space="preserve"> является форс-мажорным обстоятельством. Подобные преференции носят дискриминационный характер в отношении отдельных субъектов предпринимательской деятельности.</w:t>
            </w:r>
          </w:p>
          <w:p w:rsidR="00C84BF6" w:rsidRPr="0067749F" w:rsidRDefault="00C84BF6" w:rsidP="005078D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t>   </w:t>
            </w:r>
            <w:r w:rsidRPr="0067749F">
              <w:t>Более того, в проекте акта не конкретизируется, в чем именно выражается наступление неблагоприятных последствий для банков и иных кредитных организаций, которые подверглись действию международных санкций и каким образом данные последствия могут служить обоснованием предоставления привилегий</w:t>
            </w:r>
            <w:r>
              <w:rPr>
                <w:rStyle w:val="FontStyle14"/>
              </w:rPr>
              <w:t>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6663F">
              <w:rPr>
                <w:szCs w:val="26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051FC8">
              <w:rPr>
                <w:rFonts w:cs="Calibri"/>
              </w:rPr>
              <w:t>роблема, описанная разработчиком в сводном отчете</w:t>
            </w:r>
            <w:r>
              <w:rPr>
                <w:rFonts w:cs="Calibri"/>
              </w:rPr>
              <w:t xml:space="preserve">, актуальна для компаний Холдинга «РЖД». Принятие проекта в предлагаемой редакции частично решает проблему. 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Повышение надежности банков, которые выдают гарантии в обеспечение заявительного порядка возмещения налога. Перечень банков оценочно будет сокращен до 50 банков.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В</w:t>
            </w:r>
            <w:r w:rsidRPr="00051FC8">
              <w:rPr>
                <w:rFonts w:cs="Calibri"/>
              </w:rPr>
              <w:t xml:space="preserve"> случае принятия данного проекта</w:t>
            </w:r>
            <w:r>
              <w:rPr>
                <w:rFonts w:cs="Calibri"/>
              </w:rPr>
              <w:t xml:space="preserve"> акта могут возникнуть следующие </w:t>
            </w:r>
            <w:r w:rsidRPr="00051FC8">
              <w:rPr>
                <w:rFonts w:cs="Calibri"/>
              </w:rPr>
              <w:t xml:space="preserve">риски и негативные последствия </w:t>
            </w:r>
            <w:r>
              <w:rPr>
                <w:rFonts w:cs="Calibri"/>
              </w:rPr>
              <w:br/>
            </w:r>
            <w:r w:rsidRPr="00051FC8">
              <w:rPr>
                <w:rFonts w:cs="Calibri"/>
              </w:rPr>
              <w:t>для бизнеса</w:t>
            </w:r>
            <w:r>
              <w:rPr>
                <w:rFonts w:cs="Calibri"/>
              </w:rPr>
              <w:t>.</w:t>
            </w:r>
          </w:p>
          <w:p w:rsidR="00C84BF6" w:rsidRPr="00822710" w:rsidRDefault="00C84BF6" w:rsidP="0045737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2" w:hanging="212"/>
              <w:jc w:val="both"/>
            </w:pPr>
            <w:r w:rsidRPr="00822710">
              <w:t>Появление новых требований к банкам может привести к невозможности работы с банками, которые были выбраны по итогам конкурсных процедур.</w:t>
            </w:r>
          </w:p>
          <w:p w:rsidR="00C84BF6" w:rsidRPr="00822710" w:rsidRDefault="00C84BF6" w:rsidP="0045737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2" w:hanging="212"/>
              <w:jc w:val="both"/>
            </w:pPr>
            <w:r w:rsidRPr="00822710">
              <w:t xml:space="preserve">Значительное сокращение количества банков, которые могут предоставлять гарантии в обеспечение заявительного порядка возмещения налога в связи с исключением корпоративных банков, которые </w:t>
            </w:r>
            <w:r>
              <w:br/>
            </w:r>
            <w:r w:rsidRPr="00822710">
              <w:t xml:space="preserve">не находятся под прямым или косвенным контролем РФ приведет к росту стоимости гарантий для компаний реального сектора. </w:t>
            </w:r>
          </w:p>
          <w:p w:rsidR="00C84BF6" w:rsidRPr="007A07F4" w:rsidRDefault="00C84BF6" w:rsidP="0045737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2" w:hanging="212"/>
              <w:jc w:val="both"/>
            </w:pPr>
            <w:r w:rsidRPr="00822710">
              <w:t xml:space="preserve">В список не попадают банки, имеющие рейтинг по национальной шкале от аккредитованных ЦБ РФ рейтинговых агентств. На данном этапе такой рейтинг есть только у ограниченного количества банков </w:t>
            </w:r>
            <w:r>
              <w:br/>
            </w:r>
            <w:r w:rsidRPr="00822710">
              <w:t xml:space="preserve">(10 банков), применения данного критерия как обязательного видится нецелесообразным. Предлагаем использовать критерий как необязательный. 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F40D18">
              <w:t>ОАО «Российские железные дороги»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18" w:type="dxa"/>
          </w:tcPr>
          <w:p w:rsidR="00C84BF6" w:rsidRPr="00867C33" w:rsidRDefault="00C84BF6" w:rsidP="005078D7">
            <w:pPr>
              <w:tabs>
                <w:tab w:val="left" w:pos="426"/>
              </w:tabs>
              <w:jc w:val="both"/>
            </w:pPr>
            <w:r w:rsidRPr="00867C33">
              <w:t>   Существуют менее затратные и более эффективные способы решения проблемы.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Целесообразно оценить случаи из практики, когда банками-гарантами были нарушены обязательства </w:t>
            </w:r>
            <w:r>
              <w:rPr>
                <w:rFonts w:cs="Calibri"/>
              </w:rPr>
              <w:br/>
              <w:t xml:space="preserve">по выданным гарантиям и на основании проведенного анализа вводить дополнительные требования </w:t>
            </w:r>
            <w:r>
              <w:rPr>
                <w:rFonts w:cs="Calibri"/>
              </w:rPr>
              <w:br/>
              <w:t>к банкам-гарантам, которые позволят исключить такие инциденты в дальнейшем.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F40D18">
              <w:t>ОАО «Российские железные дороги»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</w:pPr>
            <w:r w:rsidRPr="00425EAE">
              <w:t>   Проект акта содержит нормы, положения и термины, позволяющие их толковать неоднозначно. А именно:</w:t>
            </w:r>
          </w:p>
          <w:p w:rsidR="00C84BF6" w:rsidRPr="006337DA" w:rsidRDefault="00C84BF6" w:rsidP="0045737C">
            <w:pPr>
              <w:pStyle w:val="ListParagraph"/>
              <w:numPr>
                <w:ilvl w:val="0"/>
                <w:numId w:val="11"/>
              </w:numPr>
              <w:ind w:left="212" w:hanging="212"/>
              <w:jc w:val="both"/>
            </w:pPr>
            <w:r w:rsidRPr="006337DA">
              <w:t>Необходимо уточнить в проекте Постановления, в отношении чего применяется ограничение по сумме одной гарантии и всех выданных одним банков гарантий: (</w:t>
            </w:r>
            <w:r w:rsidRPr="006337DA">
              <w:rPr>
                <w:lang w:val="en-US"/>
              </w:rPr>
              <w:t>i</w:t>
            </w:r>
            <w:r w:rsidRPr="006337DA">
              <w:t>) в отношении гарантий, выданных одним банком по одному обществу/группе зависимых обществ или (</w:t>
            </w:r>
            <w:r w:rsidRPr="006337DA">
              <w:rPr>
                <w:lang w:val="en-US"/>
              </w:rPr>
              <w:t>ii</w:t>
            </w:r>
            <w:r w:rsidRPr="006337DA">
              <w:t>) в отношении общей суммы гарантий, выданных одним банком по всем контрагентам.</w:t>
            </w:r>
          </w:p>
          <w:p w:rsidR="00C84BF6" w:rsidRPr="006337DA" w:rsidRDefault="00C84BF6" w:rsidP="0045737C">
            <w:pPr>
              <w:pStyle w:val="ListParagraph"/>
              <w:numPr>
                <w:ilvl w:val="0"/>
                <w:numId w:val="11"/>
              </w:numPr>
              <w:ind w:left="212" w:hanging="212"/>
              <w:jc w:val="both"/>
            </w:pPr>
            <w:r w:rsidRPr="006337DA">
              <w:t>В пункте 3 Постановления необходимо уточнить сумму собственных средств банка и изложить ее в следующей редакции: «собственные средства (капитал) банка не менее 1 млрд. рублей и не более 25 млрд. рублей», в целях разграничения применения пунктов 2 и 3 Постановления.</w:t>
            </w:r>
          </w:p>
          <w:p w:rsidR="00C84BF6" w:rsidRPr="006337DA" w:rsidRDefault="00C84BF6" w:rsidP="0045737C">
            <w:pPr>
              <w:pStyle w:val="ListParagraph"/>
              <w:numPr>
                <w:ilvl w:val="0"/>
                <w:numId w:val="11"/>
              </w:numPr>
              <w:ind w:left="212" w:hanging="212"/>
              <w:jc w:val="both"/>
            </w:pPr>
            <w:r w:rsidRPr="006337DA">
              <w:t xml:space="preserve">Необходимо установить критерии в отношении банков, которые имеют капитал менее 1 млрд. рублей. </w:t>
            </w:r>
          </w:p>
          <w:p w:rsidR="00C84BF6" w:rsidRPr="006337DA" w:rsidRDefault="00C84BF6" w:rsidP="0045737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12" w:hanging="212"/>
              <w:jc w:val="both"/>
            </w:pPr>
            <w:r w:rsidRPr="006337DA">
              <w:t>Необходимо уточнить лимиты для банков, которые имеют собственный капитал в размере свыше 25 млрд. рублей, не соответствуют критериям в) и г) пункта 1 Постановления и не находятся в списке компаний, в отношении которых введены санкции/не находятся под контролем или значительным влиянием таких компаний.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F40D18">
              <w:t>ОАО «Российские железные дороги»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051FC8">
              <w:rPr>
                <w:rFonts w:cs="Calibri"/>
              </w:rPr>
              <w:t>роект акта</w:t>
            </w:r>
            <w:r>
              <w:rPr>
                <w:rFonts w:cs="Calibri"/>
              </w:rPr>
              <w:t xml:space="preserve"> содержит</w:t>
            </w:r>
            <w:r w:rsidRPr="00051FC8">
              <w:rPr>
                <w:rFonts w:cs="Calibri"/>
              </w:rPr>
              <w:t xml:space="preserve"> нормы, невыполнимые на практике</w:t>
            </w:r>
            <w:r>
              <w:rPr>
                <w:rFonts w:cs="Calibri"/>
              </w:rPr>
              <w:t>, а именно: п. 5.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О</w:t>
            </w:r>
            <w:r w:rsidRPr="009825D9">
              <w:rPr>
                <w:rFonts w:cs="Calibri"/>
              </w:rPr>
              <w:t xml:space="preserve">граничение по сумме одной банковской гарантии </w:t>
            </w:r>
            <w:r>
              <w:rPr>
                <w:rFonts w:cs="Calibri"/>
              </w:rPr>
              <w:t xml:space="preserve">считаем </w:t>
            </w:r>
            <w:r w:rsidRPr="009825D9">
              <w:rPr>
                <w:rFonts w:cs="Calibri"/>
              </w:rPr>
              <w:t xml:space="preserve">избыточным, т.к. это потенциально затрудняет возможность выдачи одной гарантии на общую сумму подлежащего возмещению НДС, если ее размер выходит за пределы установленного лимита, и заставляет искусственно «дробить» общую сумму НДС </w:t>
            </w:r>
            <w:r>
              <w:rPr>
                <w:rFonts w:cs="Calibri"/>
              </w:rPr>
              <w:br/>
            </w:r>
            <w:r w:rsidRPr="009825D9">
              <w:rPr>
                <w:rFonts w:cs="Calibri"/>
              </w:rPr>
              <w:t xml:space="preserve">на несколько гарантий. Механизм одновременного использования нескольких банковских гарантий </w:t>
            </w:r>
            <w:r>
              <w:rPr>
                <w:rFonts w:cs="Calibri"/>
              </w:rPr>
              <w:br/>
            </w:r>
            <w:r w:rsidRPr="009825D9">
              <w:rPr>
                <w:rFonts w:cs="Calibri"/>
              </w:rPr>
              <w:t>в Н</w:t>
            </w:r>
            <w:r>
              <w:rPr>
                <w:rFonts w:cs="Calibri"/>
              </w:rPr>
              <w:t>алоговом кодексе Российской Федерации</w:t>
            </w:r>
            <w:r w:rsidRPr="009825D9">
              <w:rPr>
                <w:rFonts w:cs="Calibri"/>
              </w:rPr>
              <w:t xml:space="preserve"> четко не урегулирован.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При наличии общедоступной информации о списке банков, соответствующих требованиям п.3 ст. 74.1, налогоплательщикам будет не доступна информация о банках, у которых сумма всех выданных банковских гарантий в целях уплаты налогов равна максимальному размеру на момент обращения. Отсутствие информации повлечет повторные обращения в банки, увеличение трудозатрат, риски несвоевременного оформления обеспечительного инструмента.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Установление максимальной суммы одной банковской гарантии с</w:t>
            </w:r>
            <w:r w:rsidRPr="00571A54">
              <w:rPr>
                <w:rFonts w:cs="Calibri"/>
              </w:rPr>
              <w:t>оздаст условия для «дробления» требуемо</w:t>
            </w:r>
            <w:r>
              <w:rPr>
                <w:rFonts w:cs="Calibri"/>
              </w:rPr>
              <w:t xml:space="preserve">го обеспечения </w:t>
            </w:r>
            <w:r w:rsidRPr="00571A54">
              <w:rPr>
                <w:rFonts w:cs="Calibri"/>
              </w:rPr>
              <w:t>на несколько банковских гарантий различных банков. Механизм одновременного использования нескольких банковских гарантий в Н</w:t>
            </w:r>
            <w:r>
              <w:rPr>
                <w:rFonts w:cs="Calibri"/>
              </w:rPr>
              <w:t>алоговом кодексе</w:t>
            </w:r>
            <w:r w:rsidRPr="00571A54">
              <w:rPr>
                <w:rFonts w:cs="Calibri"/>
              </w:rPr>
              <w:t xml:space="preserve"> Р</w:t>
            </w:r>
            <w:r>
              <w:rPr>
                <w:rFonts w:cs="Calibri"/>
              </w:rPr>
              <w:t xml:space="preserve">оссийской </w:t>
            </w:r>
            <w:r w:rsidRPr="00571A54">
              <w:rPr>
                <w:rFonts w:cs="Calibri"/>
              </w:rPr>
              <w:t>Ф</w:t>
            </w:r>
            <w:r>
              <w:rPr>
                <w:rFonts w:cs="Calibri"/>
              </w:rPr>
              <w:t>едерации</w:t>
            </w:r>
            <w:r w:rsidRPr="00571A54">
              <w:rPr>
                <w:rFonts w:cs="Calibri"/>
              </w:rPr>
              <w:t xml:space="preserve"> четко </w:t>
            </w:r>
            <w:r>
              <w:rPr>
                <w:rFonts w:cs="Calibri"/>
              </w:rPr>
              <w:br/>
            </w:r>
            <w:r w:rsidRPr="00571A54">
              <w:rPr>
                <w:rFonts w:cs="Calibri"/>
              </w:rPr>
              <w:t>не урегулирован.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873E48">
              <w:rPr>
                <w:szCs w:val="26"/>
              </w:rPr>
              <w:t>ПАО «Интер РАО»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18" w:type="dxa"/>
          </w:tcPr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Проблема, на решение которой направлен предлагаемый способ регулирования, сформулирована разработчиком следующим образом: «Принятие проекта постановления позволит расширить использование банковских гарантий крупнейших российских банков как надежного обеспечительного инструмента» (п. 3.1 Сводного отчета о проведении оценки регулирующего воздействия).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Такая п</w:t>
            </w:r>
            <w:r w:rsidRPr="00670DC2">
              <w:rPr>
                <w:rFonts w:cs="Calibri"/>
              </w:rPr>
              <w:t>остановка задачи</w:t>
            </w:r>
            <w:r>
              <w:rPr>
                <w:rFonts w:cs="Calibri"/>
              </w:rPr>
              <w:t>: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во-первых, содержит ложный тезис о целеполагании принимаемого документа: исходя из содержания проекта, целью является не «расширение использования банковских гарантий крупнейших российских банков как надежного обеспечительного инструмента», как утверждают разработчики документа, а создание препятствий для принятия гарантий в целях обеспечения налоговых обязательств (далее – налоговые гарантии), выдаваемых банками, не отнесенными к вводимой категории «крупнейших банков»;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во-вторых, является заведомо дискриминационной </w:t>
            </w:r>
            <w:r w:rsidRPr="00670DC2">
              <w:rPr>
                <w:rFonts w:cs="Calibri"/>
              </w:rPr>
              <w:t xml:space="preserve">по отношению </w:t>
            </w:r>
            <w:r>
              <w:rPr>
                <w:rFonts w:cs="Calibri"/>
              </w:rPr>
              <w:t xml:space="preserve">к </w:t>
            </w:r>
            <w:r w:rsidRPr="00670DC2">
              <w:rPr>
                <w:rFonts w:cs="Calibri"/>
              </w:rPr>
              <w:t>банкам</w:t>
            </w:r>
            <w:r>
              <w:rPr>
                <w:rFonts w:cs="Calibri"/>
              </w:rPr>
              <w:t>, не являющимся «крупнейшими», однако соответствующим требованиям закона и являющимся финансово устойчивыми.</w:t>
            </w:r>
          </w:p>
        </w:tc>
        <w:tc>
          <w:tcPr>
            <w:tcW w:w="3083" w:type="dxa"/>
          </w:tcPr>
          <w:p w:rsidR="00C84BF6" w:rsidRPr="00924643" w:rsidRDefault="00C84BF6" w:rsidP="005078D7">
            <w:pPr>
              <w:jc w:val="center"/>
            </w:pPr>
            <w:r w:rsidRPr="00924643">
              <w:t>Банк СОЮЗ 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18" w:type="dxa"/>
          </w:tcPr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В силу указанных выше обстоятельств, принятие данного документа будет иметь только отрицательные эффекты.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Принятие проекта в предложенном варианте может создать проблему нехватки объема налоговых гарантий, т.к. не только существенно сократит количество банков, имеющих право выдавать банковские гарантии, но и необоснованно ограничит объем гарантий, которые могут быть выданы банками, не отнесенными к категории «крупнейших». В конечном итоге принятие документа в предложенной редакции ограничит рынок услуг по выдаче налоговых гарантий, затруднит доступ налогоплательщиков к использованию налоговых гарантий и повысит их стоимость.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924643">
              <w:t>Банк СОЮЗ 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18" w:type="dxa"/>
          </w:tcPr>
          <w:p w:rsidR="00C84BF6" w:rsidRPr="00C10314" w:rsidRDefault="00C84BF6" w:rsidP="005078D7">
            <w:pPr>
              <w:jc w:val="both"/>
            </w:pPr>
            <w:r w:rsidRPr="00C10314">
              <w:t>Предложенные критерии для определения максимального размера выдаваемых банками налоговых гарантий:</w:t>
            </w:r>
          </w:p>
          <w:p w:rsidR="00C84BF6" w:rsidRPr="00C10314" w:rsidRDefault="00C84BF6" w:rsidP="005078D7">
            <w:pPr>
              <w:pStyle w:val="ListParagraph"/>
              <w:numPr>
                <w:ilvl w:val="0"/>
                <w:numId w:val="7"/>
              </w:numPr>
              <w:ind w:left="496" w:hanging="496"/>
              <w:jc w:val="both"/>
            </w:pPr>
            <w:r w:rsidRPr="00C10314">
              <w:t>Являются дискриминационными по отношению банкам, не являющимся «крупнейшими»:</w:t>
            </w:r>
          </w:p>
          <w:p w:rsidR="00C84BF6" w:rsidRPr="00C10314" w:rsidRDefault="00C84BF6" w:rsidP="005078D7">
            <w:pPr>
              <w:pStyle w:val="ListParagraph"/>
              <w:numPr>
                <w:ilvl w:val="1"/>
                <w:numId w:val="7"/>
              </w:numPr>
              <w:tabs>
                <w:tab w:val="left" w:pos="885"/>
              </w:tabs>
              <w:ind w:left="496" w:hanging="496"/>
              <w:jc w:val="both"/>
            </w:pPr>
            <w:r w:rsidRPr="00C10314">
              <w:t>Разница между «крупнейшими» и не являющимися «крупнейшими» банками в отношении максимальной суммы налоговых гарантий (в двадцать раз в относительном выражении), а также максимальной суммы одной гарантии (в пятьдесят раз в относительном выражении) (п.п. 2 и 4 проекта) создает необоснованные препятствия для значительной части банков-участников рынка по предоставлению налоговых гарантий.</w:t>
            </w:r>
          </w:p>
          <w:p w:rsidR="00C84BF6" w:rsidRPr="00C10314" w:rsidRDefault="00C84BF6" w:rsidP="005078D7">
            <w:pPr>
              <w:pStyle w:val="ListParagraph"/>
              <w:numPr>
                <w:ilvl w:val="0"/>
                <w:numId w:val="7"/>
              </w:numPr>
              <w:ind w:left="496" w:hanging="496"/>
              <w:jc w:val="both"/>
            </w:pPr>
            <w:r w:rsidRPr="00C10314">
              <w:t>Являются избирательными, т.к. предполагают (в определенной части) не установление норм права, т.е. общеобязательных и формально определенных правил поведения, четко сформулированных и однозначно воспринимаемых субъектами соответствующего рынка, а предоставление Правительству Российской Федерации права своим решением предоставлять преференции определенным субъектам:</w:t>
            </w:r>
          </w:p>
          <w:p w:rsidR="00C84BF6" w:rsidRPr="00C10314" w:rsidRDefault="00C84BF6" w:rsidP="005078D7">
            <w:pPr>
              <w:pStyle w:val="ListParagraph"/>
              <w:numPr>
                <w:ilvl w:val="1"/>
                <w:numId w:val="7"/>
              </w:numPr>
              <w:tabs>
                <w:tab w:val="left" w:pos="896"/>
              </w:tabs>
              <w:ind w:left="496" w:hanging="496"/>
              <w:jc w:val="both"/>
            </w:pPr>
            <w:r w:rsidRPr="00C10314">
              <w:t>Для целей определения максимальных сумм банковских гарантий принимаются во внимание рейтинги, присвоенные не всеми рейтинговыми агентствами, аккредитованными Банком России (как предполагает пп. «г» п. 1 проекта), а только теми из них, которые определены Правительством РФ (последние предложения п.п. 2 и 3), что является признаком ограничения конкуренции не только на рынке банковских услуг, но и на рынке услуг по присвоению кредитных рейтингов.</w:t>
            </w:r>
          </w:p>
          <w:p w:rsidR="00C84BF6" w:rsidRPr="00C10314" w:rsidRDefault="00C84BF6" w:rsidP="005078D7">
            <w:pPr>
              <w:pStyle w:val="ListParagraph"/>
              <w:numPr>
                <w:ilvl w:val="1"/>
                <w:numId w:val="7"/>
              </w:numPr>
              <w:tabs>
                <w:tab w:val="left" w:pos="896"/>
              </w:tabs>
              <w:ind w:left="496" w:hanging="496"/>
              <w:jc w:val="both"/>
            </w:pPr>
            <w:r w:rsidRPr="00C10314">
              <w:t>Проект предусматривает возможность по усмотрению Правительства Российской Федерации предоставлять отдельным банкам, не соответствующим всем требованиям, установленным п. 1, право предоставлять налоговые гарантии в тех же пределах, которые установлены для банков, соответствующим всем установленным п. 1 требованиям (п. 6 проекта).</w:t>
            </w:r>
          </w:p>
          <w:p w:rsidR="00C84BF6" w:rsidRPr="00C10314" w:rsidRDefault="00C84BF6" w:rsidP="005078D7">
            <w:pPr>
              <w:tabs>
                <w:tab w:val="left" w:pos="426"/>
              </w:tabs>
              <w:jc w:val="both"/>
            </w:pPr>
            <w:r>
              <w:t>   </w:t>
            </w:r>
            <w:r w:rsidRPr="00C10314">
              <w:t>Полагаем, что каждый банк, соответствующий требованиям Налогового кодекса Российской Федерации  должен обладать правом выдачи налоговых гарантий, при этом ограничение размера налоговых гарантий не должно быть дискриминационным, как это предполагается проектом, а может зависеть от показателей финансовой устойчивости (которые не ограничиваются лишь размером собственных средств).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924643">
              <w:t>Банк СОЮЗ 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Также </w:t>
            </w:r>
            <w:r w:rsidRPr="00051FC8">
              <w:rPr>
                <w:rFonts w:cs="Calibri"/>
              </w:rPr>
              <w:t xml:space="preserve">проект акта </w:t>
            </w:r>
            <w:r>
              <w:rPr>
                <w:rFonts w:cs="Calibri"/>
              </w:rPr>
              <w:t>с</w:t>
            </w:r>
            <w:r w:rsidRPr="00051FC8">
              <w:rPr>
                <w:rFonts w:cs="Calibri"/>
              </w:rPr>
              <w:t>одержит нормы,</w:t>
            </w:r>
            <w:r>
              <w:rPr>
                <w:rFonts w:cs="Calibri"/>
              </w:rPr>
              <w:t xml:space="preserve"> противоречащие п. 3 ст. 74.1 Налогового кодекса Российской Федерации, п. 17 ст. 4 Федерального закона «О защите конкуренции» (см. п.п. 1.1, 1.3, 2.1 предыдущего заполненного раздела).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924643">
              <w:t>Банк СОЮЗ (АО)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По указанному проекту акта имеются следующие замечания:</w:t>
            </w:r>
          </w:p>
          <w:p w:rsidR="00C84BF6" w:rsidRDefault="00C84BF6" w:rsidP="005078D7">
            <w:pPr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   1. Название Проекта сужает сферу применения устанавливаемых критериев целью обеспечения уплаты налогов, тогда как согласно п.1 и п.9 ст.74.1 </w:t>
            </w:r>
            <w:r w:rsidRPr="00C10314">
              <w:t>Налогового кодекса Российской Федерации</w:t>
            </w:r>
            <w:r>
              <w:rPr>
                <w:rFonts w:cs="Arial"/>
                <w:szCs w:val="26"/>
              </w:rPr>
              <w:t xml:space="preserve">, банковская гарантия может использоваться и в иных случаях, предусмотренных </w:t>
            </w:r>
            <w:r w:rsidRPr="00C10314">
              <w:t>Налогового кодекса Российской Федерации</w:t>
            </w:r>
            <w:r>
              <w:rPr>
                <w:rFonts w:cs="Arial"/>
                <w:szCs w:val="26"/>
              </w:rPr>
              <w:t>, например, при обеспечении уплаты сборов, страховых взносов, пеней и штрафов.</w:t>
            </w:r>
          </w:p>
          <w:p w:rsidR="00C84BF6" w:rsidRDefault="00C84BF6" w:rsidP="005078D7">
            <w:pPr>
              <w:jc w:val="both"/>
            </w:pPr>
            <w:r>
              <w:t>   2. Формулировки п.4 Проекта не позволяют сделать вывод о необходимости соответствия названных в нем банков критериям подп.«а» и «б» п.1. Помимо этого, неясно какие условия, предусмотренные в п.2 и п.3 имеют в виду разработчики, поскольку их одновременное соблюдение невозможно.</w:t>
            </w:r>
          </w:p>
          <w:p w:rsidR="00C84BF6" w:rsidRDefault="00C84BF6" w:rsidP="005078D7">
            <w:pPr>
              <w:jc w:val="both"/>
            </w:pPr>
            <w:r>
              <w:t xml:space="preserve">   В п.9 Проекта содержится ссылка </w:t>
            </w:r>
            <w:r w:rsidRPr="008449B8">
              <w:t>на пункты 2-5</w:t>
            </w:r>
            <w:r>
              <w:t>, устанавливающие требования к размерам собственных средств (капитала) и дополнительные критерии для банков. Полагаем, что налоговые органы должны осуществлять контроль за соответствием максимальных сумм банковских гарантий в отношении всех, в том числе и «санкционных» банков, в связи с чем, п.9 требуется дополнить ссылкой на п.6 Проекта.</w:t>
            </w:r>
          </w:p>
          <w:p w:rsidR="00C84BF6" w:rsidRDefault="00C84BF6" w:rsidP="005078D7">
            <w:pPr>
              <w:jc w:val="both"/>
            </w:pPr>
            <w:r>
              <w:t xml:space="preserve">   3. Редакция п.10 Проекта предоставляет Правительству </w:t>
            </w:r>
            <w:r w:rsidRPr="00C10314">
              <w:t>Российской Федерации</w:t>
            </w:r>
            <w:r>
              <w:t xml:space="preserve"> полномочия по принятию решений об отказе в принятии налоговыми органами банковских гарантий отдельных банков, что выходит за рамки задач и функций Правительства </w:t>
            </w:r>
            <w:r w:rsidRPr="00C10314">
              <w:t>Российской Федерации</w:t>
            </w:r>
            <w:r>
              <w:t>, установленных п.8</w:t>
            </w:r>
            <w:r w:rsidRPr="001B0DE7">
              <w:t>.1</w:t>
            </w:r>
            <w:r>
              <w:t xml:space="preserve"> ст.74</w:t>
            </w:r>
            <w:r w:rsidRPr="001B0DE7">
              <w:t>.1</w:t>
            </w:r>
            <w:r>
              <w:t xml:space="preserve"> </w:t>
            </w:r>
            <w:r w:rsidRPr="00C10314">
              <w:t>Налогового кодекса Российской Федерации</w:t>
            </w:r>
            <w:r>
              <w:t>.</w:t>
            </w:r>
          </w:p>
          <w:p w:rsidR="00C84BF6" w:rsidRPr="00562671" w:rsidRDefault="00C84BF6" w:rsidP="005078D7">
            <w:pPr>
              <w:jc w:val="both"/>
            </w:pPr>
            <w:r>
              <w:t xml:space="preserve">   Считаем, что принятие Проекта в представленной редакции является </w:t>
            </w:r>
            <w:r w:rsidRPr="00A6260E">
              <w:t>преждевременным и требует доработки.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>
              <w:rPr>
                <w:rFonts w:cs="Arial"/>
                <w:szCs w:val="26"/>
              </w:rPr>
              <w:t>ОАО «Сургутнефтегаз»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18" w:type="dxa"/>
          </w:tcPr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t>   </w:t>
            </w:r>
            <w:r w:rsidRPr="00B95437">
              <w:t>Установление специальных требований к кредитным организациям (для налоговых, таможенных целей для гособоронзаказа, для размещения средств бюджета, для размещения пенсионных средств и пр.) существенно усложняют деятельность Банков  и предпринимательские отношения, связанные с банковскими услугами.  Считаем меры, применяемые для специального регулирования и требования к банкам для разных сфер деятельности, должны быть простыми, и учитывать капитал или активы Банка, а не дополнительно рейтинги, факт предоставления помощи со стороны АСВ, участие в капитале государства или госкорпораций и другие критерии.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>
              <w:rPr>
                <w:rFonts w:cs="Calibri"/>
                <w:szCs w:val="20"/>
              </w:rPr>
              <w:t xml:space="preserve">ПАО «Банк </w:t>
            </w:r>
            <w:r>
              <w:rPr>
                <w:rFonts w:cs="Calibri"/>
                <w:szCs w:val="20"/>
              </w:rPr>
              <w:br/>
              <w:t>«Санкт-Петербург»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051FC8">
              <w:rPr>
                <w:rFonts w:cs="Calibri"/>
              </w:rPr>
              <w:t>роблема, описанная разработчиком в сводном отчете</w:t>
            </w:r>
            <w:r>
              <w:rPr>
                <w:rFonts w:cs="Calibri"/>
              </w:rPr>
              <w:t>, а</w:t>
            </w:r>
            <w:r w:rsidRPr="00051FC8">
              <w:rPr>
                <w:rFonts w:cs="Calibri"/>
              </w:rPr>
              <w:t>ктуальна</w:t>
            </w:r>
            <w:r>
              <w:rPr>
                <w:rFonts w:cs="Calibri"/>
              </w:rPr>
              <w:t xml:space="preserve">. 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Принятием данного акта произойдет перераспределение клиентов, получающих банковские гарантии с целью обеспечения уплаты налогов в федеральные банки, имеющих капитал  банка свыше 25 млрд. руб. Что может привести к потере  наработанных ранее деловых связей между региональными банками и клиентами и более длительному рассмотрению вопросов, связанных с предоставлением банковских гарантий. 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Предлагаем расширить  критерии по размеру капитала банка и установить дополнительный:  для банков с капиталов от 5 до 10 млрд руб.   и соответствуют критериям, предусмотренным  подпунктам «а-б» пункта 1 постановления и соответствуют хотя бы одному из критериев, предусмотренных пунктами «в» и «г» постановления  установить сумма всех одновременно действующих банковских гарантий, выданных одним банком, в размере 15 % от величины капитала, а максимальную сумму одной банковской гарантии  в размере 4 % от собственного капитала Банка. 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t>КБ «Кубань Кредит» (ООО)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051FC8">
              <w:rPr>
                <w:rFonts w:cs="Calibri"/>
              </w:rPr>
              <w:t xml:space="preserve">роект акта </w:t>
            </w:r>
            <w:r>
              <w:rPr>
                <w:rFonts w:cs="Calibri"/>
              </w:rPr>
              <w:t xml:space="preserve">содержит </w:t>
            </w:r>
            <w:r w:rsidRPr="00051FC8">
              <w:rPr>
                <w:rFonts w:cs="Calibri"/>
              </w:rPr>
              <w:t>нормы, противоречащие действующему законодательству</w:t>
            </w:r>
            <w:r>
              <w:rPr>
                <w:rFonts w:cs="Calibri"/>
              </w:rPr>
              <w:t>.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Считаем, что </w:t>
            </w:r>
            <w:r w:rsidRPr="00D61B1F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>подпункте в) пункта</w:t>
            </w:r>
            <w:r w:rsidRPr="00D61B1F">
              <w:rPr>
                <w:rFonts w:cs="Calibri"/>
              </w:rPr>
              <w:t xml:space="preserve"> 1</w:t>
            </w:r>
            <w:r>
              <w:rPr>
                <w:rFonts w:cs="Calibri"/>
              </w:rPr>
              <w:t xml:space="preserve"> </w:t>
            </w:r>
            <w:r w:rsidRPr="00051FC8">
              <w:rPr>
                <w:rFonts w:cs="Calibri"/>
              </w:rPr>
              <w:t>проект</w:t>
            </w:r>
            <w:r>
              <w:rPr>
                <w:rFonts w:cs="Calibri"/>
              </w:rPr>
              <w:t xml:space="preserve">а акта в скобках не вполне корректно сформулировано условие о </w:t>
            </w:r>
            <w:r w:rsidRPr="00D12168">
              <w:rPr>
                <w:rFonts w:cs="Calibri"/>
              </w:rPr>
              <w:t xml:space="preserve">нахождении </w:t>
            </w:r>
            <w:r>
              <w:rPr>
                <w:rFonts w:cs="Calibri"/>
              </w:rPr>
              <w:t xml:space="preserve">банка </w:t>
            </w:r>
            <w:r w:rsidRPr="00D12168">
              <w:rPr>
                <w:rFonts w:cs="Calibri"/>
              </w:rPr>
              <w:t>под прямым или косвенным контролем Центрального банка Российской Федерации или Российской Федерации.</w:t>
            </w:r>
            <w:r>
              <w:rPr>
                <w:rStyle w:val="pt-a0-000005"/>
              </w:rPr>
              <w:t xml:space="preserve"> </w:t>
            </w:r>
            <w:r>
              <w:rPr>
                <w:rFonts w:cs="Calibri"/>
              </w:rPr>
              <w:t>Согласно ч.3 ст. 2 Федерального закона от 21 июля 2014 г. № 213-ФЗ, такой контроль – не единственное основание для включения банка в перечень кредитных организаций,</w:t>
            </w:r>
            <w:r w:rsidRPr="00F232B2">
              <w:rPr>
                <w:rFonts w:cs="Calibri"/>
              </w:rPr>
              <w:t xml:space="preserve"> размещаемый Центральным банком Российской Федерации. Другое основание – размер капитала не менее установленного Правительством по согласованию с Ц</w:t>
            </w:r>
            <w:r>
              <w:rPr>
                <w:rFonts w:cs="Calibri"/>
              </w:rPr>
              <w:t>ентральным банком Российской Федерации</w:t>
            </w:r>
            <w:r w:rsidRPr="00F232B2">
              <w:rPr>
                <w:rFonts w:cs="Calibri"/>
              </w:rPr>
              <w:t xml:space="preserve">, либо специальное решение Правительства. </w:t>
            </w:r>
            <w:r>
              <w:rPr>
                <w:rFonts w:cs="Calibri"/>
              </w:rPr>
              <w:t>Предлагаем</w:t>
            </w:r>
            <w:r w:rsidRPr="00F232B2">
              <w:rPr>
                <w:rFonts w:cs="Calibri"/>
              </w:rPr>
              <w:t xml:space="preserve"> просто сослаться на Перечень.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t>ПАО «ФСК ЕЭС»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</w:pPr>
            <w:r w:rsidRPr="00425EAE">
              <w:t>   Проект акта содержит нормы, положения и термины, позволяющие их толковать неоднозначно. А именно</w:t>
            </w:r>
            <w:r>
              <w:t>:</w:t>
            </w:r>
          </w:p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D61B1F">
              <w:rPr>
                <w:rFonts w:cs="Calibri"/>
              </w:rPr>
              <w:t xml:space="preserve">Считаем необходимым уточнить в пункте 3 </w:t>
            </w:r>
            <w:r>
              <w:rPr>
                <w:rFonts w:cs="Calibri"/>
              </w:rPr>
              <w:t xml:space="preserve">проекта акта </w:t>
            </w:r>
            <w:r w:rsidRPr="00D61B1F">
              <w:rPr>
                <w:rFonts w:cs="Calibri"/>
              </w:rPr>
              <w:t>критерий размера собственных средств</w:t>
            </w:r>
            <w:r>
              <w:rPr>
                <w:rFonts w:cs="Calibri"/>
              </w:rPr>
              <w:t xml:space="preserve"> банка - свыше 1 млрд. рублей, </w:t>
            </w:r>
            <w:r w:rsidRPr="004F759D">
              <w:rPr>
                <w:rFonts w:cs="Calibri"/>
              </w:rPr>
              <w:t>но не более 25 млрд. рублей, иначе</w:t>
            </w:r>
            <w:r>
              <w:rPr>
                <w:rFonts w:cs="Calibri"/>
              </w:rPr>
              <w:t xml:space="preserve"> будет иметь место пересечение с критерием, указанным в п.2 проекта акта</w:t>
            </w:r>
            <w:r w:rsidRPr="00D61B1F">
              <w:rPr>
                <w:rFonts w:cs="Calibri"/>
              </w:rPr>
              <w:t>.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t>ПАО «ФСК ЕЭС»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Целесообразно ввести переходный период не менее одного года для вступления в силу акта в части требований к включению рейтинговых агентств, рейтинги которых учитываются при определении размеров ограничений, в реестр Центрального банка Российской Федерации (подпункт «г» пункта 1 проекта акта). На текущий момент в данном реестре присутствуют лишь два агентства – АКРА и Эксперт РА; при этом большинство финансово устойчивых кредитных организаций имеют рейтинги международных рейтинговых агентств (</w:t>
            </w:r>
            <w:r>
              <w:rPr>
                <w:rFonts w:cs="Calibri"/>
                <w:lang w:val="en-US"/>
              </w:rPr>
              <w:t>Standard</w:t>
            </w:r>
            <w:r w:rsidRPr="00EF6D1B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and</w:t>
            </w:r>
            <w:r w:rsidRPr="00EF6D1B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Poor</w:t>
            </w:r>
            <w:r w:rsidRPr="00EF6D1B">
              <w:rPr>
                <w:rFonts w:cs="Calibri"/>
              </w:rPr>
              <w:t>’</w:t>
            </w:r>
            <w:r>
              <w:rPr>
                <w:rFonts w:cs="Calibri"/>
                <w:lang w:val="en-US"/>
              </w:rPr>
              <w:t>s</w:t>
            </w:r>
            <w:r w:rsidRPr="00EF6D1B">
              <w:rPr>
                <w:rFonts w:cs="Calibri"/>
              </w:rPr>
              <w:t xml:space="preserve">, </w:t>
            </w:r>
            <w:r>
              <w:rPr>
                <w:rFonts w:cs="Calibri"/>
                <w:lang w:val="en-US"/>
              </w:rPr>
              <w:t>Fitch</w:t>
            </w:r>
            <w:r w:rsidRPr="00EF6D1B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Ratings</w:t>
            </w:r>
            <w:r w:rsidRPr="00EF6D1B">
              <w:rPr>
                <w:rFonts w:cs="Calibri"/>
              </w:rPr>
              <w:t xml:space="preserve">, </w:t>
            </w:r>
            <w:r>
              <w:rPr>
                <w:rFonts w:cs="Calibri"/>
                <w:lang w:val="en-US"/>
              </w:rPr>
              <w:t>Moody</w:t>
            </w:r>
            <w:r w:rsidRPr="00EF6D1B">
              <w:rPr>
                <w:rFonts w:cs="Calibri"/>
              </w:rPr>
              <w:t>’</w:t>
            </w:r>
            <w:r>
              <w:rPr>
                <w:rFonts w:cs="Calibri"/>
                <w:lang w:val="en-US"/>
              </w:rPr>
              <w:t>s</w:t>
            </w:r>
            <w:r>
              <w:rPr>
                <w:rFonts w:cs="Calibri"/>
              </w:rPr>
              <w:t>); получение национальных рейтингов потребует дополнительного времени.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t>ПАО «ФСК ЕЭС»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18" w:type="dxa"/>
          </w:tcPr>
          <w:p w:rsidR="00C84BF6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Кроме того по проекту акта имеются следующие замечания и предложения.</w:t>
            </w:r>
          </w:p>
          <w:p w:rsidR="00C84BF6" w:rsidRPr="00F41091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F41091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>подпункте а)</w:t>
            </w:r>
            <w:r w:rsidRPr="00F41091">
              <w:rPr>
                <w:rFonts w:cs="Calibri"/>
              </w:rPr>
              <w:t xml:space="preserve"> пункта 1 </w:t>
            </w:r>
            <w:r>
              <w:rPr>
                <w:rFonts w:cs="Calibri"/>
              </w:rPr>
              <w:t>предлагаем рассмотреть возможность уточнения</w:t>
            </w:r>
            <w:r w:rsidRPr="00F41091">
              <w:rPr>
                <w:rFonts w:cs="Calibri"/>
              </w:rPr>
              <w:t xml:space="preserve">, что критерий участия в системе страхования вкладов применим только для банков, у которых </w:t>
            </w:r>
            <w:r>
              <w:rPr>
                <w:rFonts w:cs="Calibri"/>
              </w:rPr>
              <w:t>имеется</w:t>
            </w:r>
            <w:r w:rsidRPr="00F41091">
              <w:rPr>
                <w:rFonts w:cs="Calibri"/>
              </w:rPr>
              <w:t xml:space="preserve"> лицензия на работу с физическими лицами. 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   Предлагаем исключить п. 6 из проекта акта. </w:t>
            </w:r>
            <w:r w:rsidRPr="00C879A7">
              <w:rPr>
                <w:rFonts w:cs="Calibri"/>
              </w:rPr>
              <w:t>Правительство</w:t>
            </w:r>
            <w:r>
              <w:rPr>
                <w:rFonts w:cs="Calibri"/>
              </w:rPr>
              <w:t xml:space="preserve"> Российской Федерации</w:t>
            </w:r>
            <w:r w:rsidRPr="00C879A7">
              <w:rPr>
                <w:rFonts w:cs="Calibri"/>
              </w:rPr>
              <w:t xml:space="preserve"> вправе специальным решением одобрить банк для включения в Перечень по 213 ФЗ (</w:t>
            </w:r>
            <w:r>
              <w:rPr>
                <w:rFonts w:cs="Calibri"/>
              </w:rPr>
              <w:t xml:space="preserve">подпункт </w:t>
            </w:r>
            <w:r w:rsidRPr="00C879A7">
              <w:rPr>
                <w:rFonts w:cs="Calibri"/>
              </w:rPr>
              <w:t>«в»</w:t>
            </w:r>
            <w:r>
              <w:rPr>
                <w:rFonts w:cs="Calibri"/>
              </w:rPr>
              <w:t xml:space="preserve"> </w:t>
            </w:r>
            <w:r w:rsidRPr="00C879A7">
              <w:rPr>
                <w:rFonts w:cs="Calibri"/>
              </w:rPr>
              <w:t xml:space="preserve">п. 1 </w:t>
            </w:r>
            <w:r>
              <w:rPr>
                <w:rFonts w:cs="Calibri"/>
              </w:rPr>
              <w:t>проекта акта); проблема санкций неактуальна для национальных кредитных рейтингов, присваиваемых агентствами, включенными в реестр Банка России (подпункт «г» пункта 1).</w:t>
            </w:r>
            <w:r w:rsidRPr="00C879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Е</w:t>
            </w:r>
            <w:r w:rsidRPr="00C879A7">
              <w:rPr>
                <w:rFonts w:cs="Calibri"/>
              </w:rPr>
              <w:t xml:space="preserve">сли банк не </w:t>
            </w:r>
            <w:r>
              <w:rPr>
                <w:rFonts w:cs="Calibri"/>
              </w:rPr>
              <w:t xml:space="preserve">считается достаточно устойчивым для размещения в нем </w:t>
            </w:r>
            <w:r w:rsidRPr="00C879A7">
              <w:rPr>
                <w:rFonts w:cs="Calibri"/>
              </w:rPr>
              <w:t>средств стратегических компаний (</w:t>
            </w:r>
            <w:r>
              <w:rPr>
                <w:rFonts w:cs="Calibri"/>
              </w:rPr>
              <w:t xml:space="preserve">Перечень </w:t>
            </w:r>
            <w:r w:rsidRPr="00C879A7">
              <w:rPr>
                <w:rFonts w:cs="Calibri"/>
              </w:rPr>
              <w:t>213-ФЗ)</w:t>
            </w:r>
            <w:r>
              <w:rPr>
                <w:rFonts w:cs="Calibri"/>
              </w:rPr>
              <w:t>, целесообразность прямого принятия на него рисков бюджета также вызывает сомнение.</w:t>
            </w:r>
            <w:r w:rsidRPr="00C879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Кроме того, представляется нелогичным</w:t>
            </w:r>
            <w:r w:rsidRPr="00C879A7">
              <w:rPr>
                <w:rFonts w:cs="Calibri"/>
              </w:rPr>
              <w:t xml:space="preserve"> актом Правительства ограничивать возможности для решений того же П</w:t>
            </w:r>
            <w:r>
              <w:rPr>
                <w:rFonts w:cs="Calibri"/>
              </w:rPr>
              <w:t>равительства о лимитах гарантий.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t>ПАО «ФСК ЕЭС»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Главный риск – постановление в текущем виде наносит очередной удар по небольшим и/или региональным банкам. Бизнес по выдаче гарантий еще больше будет сконцентрирован в банках ТОП-50, при этом практика показала, что размер банка не является гарантией от банкротства и отзыва лицензии. Т.е. риски станут более концентрированными, а значит любой дефолт будет восприниматься гораздо болезненней. Одновременно с концентрацией данного бизнеса в крупных банках ухудшатся условия для клиентов, прежде всего, для малого и среднего бизнеса, а также для региональных предприятий, из-за падения конкуренции банковских услуг.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Действительно, необходимо ограничить общий объем гарантий выданных в адрес одного бенефициара, но вот необходимости применять дифференцированный подход к банкам, а также вводить ограничения на 1 гарантию, а также ставить ограничение менее 25% от капитала – по сути избыточные регуляторные требования.  В банка уже есть норматив Н6, который ограничивает предоставление банковского продукта более, чем 25% от капитала на одного Принципала.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Указанные действия ограничивают конкуренцию.</w:t>
            </w:r>
          </w:p>
        </w:tc>
        <w:tc>
          <w:tcPr>
            <w:tcW w:w="3083" w:type="dxa"/>
          </w:tcPr>
          <w:p w:rsidR="00C84BF6" w:rsidRPr="007C1CE8" w:rsidRDefault="00C84BF6" w:rsidP="005078D7">
            <w:pPr>
              <w:jc w:val="center"/>
            </w:pPr>
            <w:r w:rsidRPr="007C1CE8">
              <w:rPr>
                <w:rFonts w:cs="Calibri"/>
              </w:rPr>
              <w:t>Общероссийская общественная организаций «Деловая Россия»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18" w:type="dxa"/>
          </w:tcPr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Кроме того, следует отметить следующее.</w:t>
            </w:r>
          </w:p>
          <w:p w:rsidR="00C84BF6" w:rsidRDefault="00C84BF6" w:rsidP="005078D7">
            <w:r>
              <w:t>1. Размер одной банковской гарантии ограничивать смысла нет, поскольку в самих банках действует ограничение в виде норматива Н6 - максимального риска на 1 заемщика/принципала. Данный норматив просто не даст банку выдать гарантию больше, чем 25% от собственного капитала (из которого исключены все резервы, т.е. максимально очищенного). Исключение - когда в обеспечении гарантии у самого банка находятся денежные средства.</w:t>
            </w:r>
          </w:p>
          <w:p w:rsidR="00C84BF6" w:rsidRDefault="00C84BF6" w:rsidP="005078D7">
            <w:r>
              <w:t>2. Размер нескольких гарантий, выданных одному принципалу, как связанные сделки, можно приравнять к п. 1, да и в банках действуют те же ограничения. Более того, банк отслеживает риск не на одного принципала, а группу связанных лиц.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t>3. Что касается совокупного размера гарантий, выданных банком на разных не связанных принципалов, но в адрес одного бенефициара, то в данном случае это вопрос каждого бенефициара, какой риск он готов установить. Более того, поскольку это вторичный риск (претензии всегда можно предъявить не только к гаранту, но и к принципалу, а также вероятность, что одновременно не выполнят обязательства разные принципалы можно оценить, как незначительную), то в упрощенном виде можно было бы предложить ограничение совокупного риска в размере 100% от капитала, рассчитываемого в соответствии с требованиями (нормативной базой) ЦБ РФ.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7C1CE8">
              <w:rPr>
                <w:rFonts w:cs="Calibri"/>
              </w:rPr>
              <w:t>Общероссийская общественная организаций «Деловая Россия»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18" w:type="dxa"/>
          </w:tcPr>
          <w:p w:rsidR="00C84BF6" w:rsidRPr="00A4086D" w:rsidRDefault="00C84BF6" w:rsidP="005078D7">
            <w:pPr>
              <w:jc w:val="both"/>
              <w:rPr>
                <w:rFonts w:cs="Calibri"/>
                <w:szCs w:val="28"/>
              </w:rPr>
            </w:pPr>
            <w:r w:rsidRPr="00A4086D">
              <w:rPr>
                <w:rFonts w:cs="Calibri"/>
                <w:szCs w:val="28"/>
              </w:rPr>
              <w:t>   Представленные разработчиком обоснования в достаточной степени демонстрируют наличие проблемы.</w:t>
            </w:r>
          </w:p>
          <w:p w:rsidR="00C84BF6" w:rsidRPr="00A4086D" w:rsidRDefault="00C84BF6" w:rsidP="005078D7">
            <w:pPr>
              <w:jc w:val="both"/>
              <w:rPr>
                <w:rFonts w:cs="Calibri"/>
                <w:szCs w:val="28"/>
              </w:rPr>
            </w:pPr>
            <w:r w:rsidRPr="00A4086D">
              <w:rPr>
                <w:rFonts w:cs="Calibri"/>
                <w:szCs w:val="28"/>
              </w:rPr>
              <w:t>   Положительный эффект проявится в повышении ликвидности банковских гарантии принимаемых налоговыми органами в обеспечение уплаты налогов</w:t>
            </w:r>
          </w:p>
          <w:p w:rsidR="00C84BF6" w:rsidRPr="00A4086D" w:rsidRDefault="00C84BF6" w:rsidP="005078D7">
            <w:pPr>
              <w:jc w:val="both"/>
              <w:rPr>
                <w:rFonts w:cs="Calibri"/>
                <w:szCs w:val="28"/>
              </w:rPr>
            </w:pPr>
            <w:r w:rsidRPr="00A4086D">
              <w:rPr>
                <w:rFonts w:cs="Calibri"/>
                <w:szCs w:val="28"/>
              </w:rPr>
              <w:t>   Из текста проекта постановления неясно, каким образом налогоплательщик в момент обращения в банк в целях получения банковской гарантии для дальнейшей передачи налоговым органам может быть информирован о том, исчерпан ли лимит максимальной суммы всех одновременно действующих банковских гарантий, выданных банком, в который он обратился/намеревается обратиться. В связи с исчерпанием данного лимита, возможно, налогоплательщику придется обратиться в другой банк/банки за получением банковской гарантии, что приведет к дополнительным потерям времени и, скорее всего, к росту расходов налогоплательщика на получение банковской гарантии.</w:t>
            </w:r>
          </w:p>
        </w:tc>
        <w:tc>
          <w:tcPr>
            <w:tcW w:w="3083" w:type="dxa"/>
          </w:tcPr>
          <w:p w:rsidR="00C84BF6" w:rsidRPr="00A4086D" w:rsidRDefault="00C84BF6" w:rsidP="005078D7">
            <w:pPr>
              <w:jc w:val="center"/>
            </w:pPr>
            <w:r w:rsidRPr="00A4086D">
              <w:rPr>
                <w:szCs w:val="26"/>
              </w:rPr>
              <w:t>АК «АЛРОСА» (ПАО)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518" w:type="dxa"/>
          </w:tcPr>
          <w:p w:rsidR="00C84BF6" w:rsidRPr="00A4086D" w:rsidRDefault="00C84BF6" w:rsidP="005078D7">
            <w:pPr>
              <w:jc w:val="both"/>
              <w:rPr>
                <w:rFonts w:cs="Calibri"/>
                <w:szCs w:val="28"/>
              </w:rPr>
            </w:pPr>
            <w:r w:rsidRPr="00A4086D">
              <w:rPr>
                <w:rFonts w:cs="Calibri"/>
                <w:szCs w:val="28"/>
              </w:rPr>
              <w:t>   Со вступлением в действие данного постановления появляется риск исчерпания лимита максимальной суммы банковских гарантий, выданных для налоговых органов банком, с которым у налогоплательщика заключено генеральное соглашение по банковским гарантиям. В целях снижения данного риска налогоплательщику, вероятно, придется заключать генеральные соглашения на получение банковских гарантий с несколькими банками, в том числе с теми, которые наиболее соответствуют критериям, определяемым проектом постановления, в том числе крупнейшие российские банки. От небольших налогоплательщиков это может потребовать существенных затрат времени, а также привести к росту расходов на получение и обслуживание банковских гарантий. Учитывая изложенное, а также ограниченный срок для подачи банковских гарантий в налоговые органы, требуется переходный период не менее 9 месяцев.</w:t>
            </w:r>
          </w:p>
        </w:tc>
        <w:tc>
          <w:tcPr>
            <w:tcW w:w="3083" w:type="dxa"/>
          </w:tcPr>
          <w:p w:rsidR="00C84BF6" w:rsidRPr="00A4086D" w:rsidRDefault="00C84BF6" w:rsidP="005078D7">
            <w:pPr>
              <w:jc w:val="center"/>
            </w:pPr>
            <w:r w:rsidRPr="00A4086D">
              <w:rPr>
                <w:szCs w:val="26"/>
              </w:rPr>
              <w:t>АК «АЛРОСА» (ПАО)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518" w:type="dxa"/>
          </w:tcPr>
          <w:p w:rsidR="00C84BF6" w:rsidRPr="00A4086D" w:rsidRDefault="00C84BF6" w:rsidP="005078D7">
            <w:pPr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   </w:t>
            </w:r>
            <w:r w:rsidRPr="00A4086D">
              <w:rPr>
                <w:rFonts w:cs="Calibri"/>
                <w:szCs w:val="28"/>
              </w:rPr>
              <w:t>Кроме того предлагаются следующие изменения:</w:t>
            </w:r>
          </w:p>
          <w:p w:rsidR="00C84BF6" w:rsidRPr="00A4086D" w:rsidRDefault="00C84BF6" w:rsidP="0045737C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886"/>
              </w:tabs>
              <w:spacing w:before="7" w:line="288" w:lineRule="exact"/>
              <w:ind w:left="212" w:hanging="212"/>
              <w:rPr>
                <w:rFonts w:ascii="Times New Roman" w:hAnsi="Times New Roman" w:cs="Calibri"/>
                <w:szCs w:val="28"/>
              </w:rPr>
            </w:pPr>
            <w:r w:rsidRPr="00A4086D">
              <w:rPr>
                <w:rFonts w:ascii="Times New Roman" w:hAnsi="Times New Roman" w:cs="Calibri"/>
                <w:szCs w:val="28"/>
              </w:rPr>
              <w:t>в п.9 предлагаем разработчику указать срок, в течение которого федеральный орган исполнительной власти уполномоченный по контролю в области налогов и сборов должен утвердить порядок контроля за соответствием сумм банковских гарантий критериям, установленным пунктами 2-5 проекта постановления;</w:t>
            </w:r>
          </w:p>
          <w:p w:rsidR="00C84BF6" w:rsidRPr="00A4086D" w:rsidRDefault="00C84BF6" w:rsidP="0045737C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886"/>
              </w:tabs>
              <w:spacing w:line="288" w:lineRule="exact"/>
              <w:ind w:left="212" w:hanging="212"/>
              <w:rPr>
                <w:rFonts w:ascii="Times New Roman" w:hAnsi="Times New Roman" w:cs="Calibri"/>
                <w:szCs w:val="28"/>
              </w:rPr>
            </w:pPr>
            <w:r w:rsidRPr="00A4086D">
              <w:rPr>
                <w:rFonts w:ascii="Times New Roman" w:hAnsi="Times New Roman" w:cs="Calibri"/>
                <w:szCs w:val="28"/>
              </w:rPr>
              <w:t>п.12 постановления предлагаем разработчику сформулировать таким образом, чтобы постановление вступало в силу не ранее, чем по истечении не менее трех месяцев с даты утверждения федеральным органом исполнительной власти уполномоченным по контролю в области налогов и сборов порядка контроля за максимальными суммами согласно п.9 постановления;</w:t>
            </w:r>
          </w:p>
          <w:p w:rsidR="00C84BF6" w:rsidRPr="00A4086D" w:rsidRDefault="00C84BF6" w:rsidP="0045737C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886"/>
              </w:tabs>
              <w:spacing w:before="7" w:line="288" w:lineRule="exact"/>
              <w:ind w:left="212" w:hanging="212"/>
              <w:rPr>
                <w:rFonts w:ascii="Times New Roman" w:hAnsi="Times New Roman" w:cs="Calibri"/>
                <w:szCs w:val="28"/>
              </w:rPr>
            </w:pPr>
            <w:r w:rsidRPr="00A4086D">
              <w:rPr>
                <w:rFonts w:ascii="Times New Roman" w:hAnsi="Times New Roman" w:cs="Calibri"/>
                <w:szCs w:val="28"/>
              </w:rPr>
              <w:t>предлагаем разработчику включить в текст постановления пункт, исключающий возможность применения критериев, предусмотренных пунктами 2-5 постановления, в отношении банковских гарантий, выданных до даты вступления в силу постановления.</w:t>
            </w:r>
          </w:p>
        </w:tc>
        <w:tc>
          <w:tcPr>
            <w:tcW w:w="3083" w:type="dxa"/>
          </w:tcPr>
          <w:p w:rsidR="00C84BF6" w:rsidRPr="00A4086D" w:rsidRDefault="00C84BF6" w:rsidP="005078D7">
            <w:pPr>
              <w:jc w:val="center"/>
            </w:pPr>
            <w:r w:rsidRPr="00A4086D">
              <w:rPr>
                <w:szCs w:val="26"/>
              </w:rPr>
              <w:t>АК «АЛРОСА» (ПАО)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518" w:type="dxa"/>
          </w:tcPr>
          <w:p w:rsidR="00C84BF6" w:rsidRPr="004F54AE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4F54AE">
              <w:rPr>
                <w:rFonts w:cs="Calibri"/>
              </w:rPr>
              <w:t xml:space="preserve">Проект Постановления создает для клиентов банка высокие риски невозможности использования приобретенной банковской гарантии для целей ускоренного возмещения НДС и освобождения от уплаты акцизов, т.к. клиенты банка не имеют возможности контролировать выполнение банками всех установленных проектом Постановления критериев. Соответственно, востребованность банковских гарантий от принятия этой меры может только снизиться, что в свою очередь может привести к повышению цены на данный вид банковских гарантий. </w:t>
            </w:r>
          </w:p>
          <w:p w:rsidR="00C84BF6" w:rsidRPr="004F54AE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4F54AE">
              <w:rPr>
                <w:rFonts w:cs="Calibri"/>
              </w:rPr>
              <w:t>Действующие положения Н</w:t>
            </w:r>
            <w:r>
              <w:rPr>
                <w:rFonts w:cs="Calibri"/>
              </w:rPr>
              <w:t>алогового кодекса Российской Федерации</w:t>
            </w:r>
            <w:r w:rsidRPr="004F54AE">
              <w:rPr>
                <w:rFonts w:cs="Calibri"/>
              </w:rPr>
              <w:t xml:space="preserve"> не предоставляют Правительству Российской Федерации полномочий по предъявлению дополнительных требований к банкам, выдающим банковские гарантии для целей ускоренного возмещения НДС и освобождения от уплаты акцизов, по сравнению с теми, что приведены в самом Н</w:t>
            </w:r>
            <w:r>
              <w:rPr>
                <w:rFonts w:cs="Calibri"/>
              </w:rPr>
              <w:t>алоговом кодексе Российской Федерации</w:t>
            </w:r>
            <w:r w:rsidRPr="004F54AE">
              <w:rPr>
                <w:rFonts w:cs="Calibri"/>
              </w:rPr>
              <w:t xml:space="preserve"> (п.3 ст. 74.1 Н</w:t>
            </w:r>
            <w:r>
              <w:rPr>
                <w:rFonts w:cs="Calibri"/>
              </w:rPr>
              <w:t>алогового кодекса Российской Федерации</w:t>
            </w:r>
            <w:r w:rsidRPr="004F54AE">
              <w:rPr>
                <w:rFonts w:cs="Calibri"/>
              </w:rPr>
              <w:t>). При этом фактически Постановление вводит данные критерии (максимальная сумма гарантии, выданных банками, не соответствующими установленным критериям, устанавливается в размере 10 руб.), что фактически будет означать ограничение прав налогоплательщико</w:t>
            </w:r>
            <w:r>
              <w:rPr>
                <w:rFonts w:cs="Calibri"/>
              </w:rPr>
              <w:t xml:space="preserve">в в нарушение положений </w:t>
            </w:r>
            <w:r w:rsidRPr="004F54AE"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алогового кодекса Российской Федерации. 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4F54AE">
              <w:rPr>
                <w:rFonts w:cs="Calibri"/>
              </w:rPr>
              <w:t xml:space="preserve">Из проекта Постановления можно сделать вывод, что Правительство Российской Федерации считает те или иные банки недостаточно платежеспособными, чтобы они могли выдавать банковские гарантии сверх какого-то предела, что подрывает доверие к существующей системе надзора и регулирования кредитных организаций со стороны Банка России. Регулирование деятельности банков, в т.ч. достаточности их капитала для выдачи банковских гарантий, должно быть единым, независимо от того, в пользу кого выдается банковская гарантия: в пользу ФНС России или частных лиц. 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4F54AE">
              <w:rPr>
                <w:rFonts w:cs="Calibri"/>
              </w:rPr>
              <w:t>В этой связи видится нецелесообразным подвергать банковские гарантии, выданные банками в пользу ФНС России, дополнительному надзору и регулированию со стороны ФНС России.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>
              <w:rPr>
                <w:rFonts w:cs="Calibri"/>
                <w:szCs w:val="20"/>
              </w:rPr>
              <w:t>ПАО </w:t>
            </w:r>
            <w:r w:rsidRPr="001F4B42">
              <w:rPr>
                <w:rFonts w:cs="Calibri"/>
                <w:szCs w:val="20"/>
              </w:rPr>
              <w:t>«Газпром нефть»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18" w:type="dxa"/>
          </w:tcPr>
          <w:p w:rsidR="00C84BF6" w:rsidRPr="009A3EDC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E11BCD">
              <w:rPr>
                <w:rFonts w:cs="Calibri"/>
              </w:rPr>
              <w:t>2.</w:t>
            </w:r>
            <w:r>
              <w:rPr>
                <w:rFonts w:cs="Calibri"/>
              </w:rPr>
              <w:t> </w:t>
            </w:r>
            <w:r w:rsidRPr="009A3EDC">
              <w:rPr>
                <w:rFonts w:cs="Calibri"/>
              </w:rPr>
              <w:t>Согласно подпункту в) пункта 1 проекта Постановления, одним из критериев является:</w:t>
            </w:r>
          </w:p>
          <w:p w:rsidR="00C84BF6" w:rsidRPr="009A3EDC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9A3EDC">
              <w:rPr>
                <w:rFonts w:cs="Calibri"/>
              </w:rPr>
              <w:t>«нахождение под прямым или косвенным контролем Центрального банка Российской Федерации или Российской Федерации (банк включен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«Интернет» в соответствии с частью 3 стать 2 Федерального закона от 21 июля 2014 г. №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Федерации»)».</w:t>
            </w:r>
          </w:p>
          <w:p w:rsidR="00C84BF6" w:rsidRPr="009A3EDC" w:rsidRDefault="00C84BF6" w:rsidP="005078D7">
            <w:pPr>
              <w:tabs>
                <w:tab w:val="left" w:pos="426"/>
              </w:tabs>
              <w:spacing w:before="60"/>
              <w:jc w:val="both"/>
              <w:rPr>
                <w:rFonts w:cs="Calibri"/>
              </w:rPr>
            </w:pPr>
            <w:r w:rsidRPr="009A3EDC">
              <w:rPr>
                <w:rFonts w:cs="Calibri"/>
              </w:rPr>
              <w:t>   Между тем, перечень кредитных организаций, публикуемый Центральным банком Российской Федерации в информационно-телекоммуникационной сети «Интернет» в соответствии с частью 3 статьи 2 Федерального закона от 21.07.2014 №213-ФЗ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Федерации», помимо банков, находящихся под прямым или косвенным контролем Центрального банка Российской Федерации или Российской Федерации, также содержит иные банки, соответствующие требованиям, установленным частью 1 и частью 2 статьи 2 указанного федерального закона.</w:t>
            </w:r>
          </w:p>
          <w:p w:rsidR="00C84BF6" w:rsidRPr="009A3EDC" w:rsidRDefault="00C84BF6" w:rsidP="005078D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DC">
              <w:rPr>
                <w:rFonts w:ascii="Times New Roman" w:hAnsi="Times New Roman"/>
                <w:sz w:val="24"/>
                <w:szCs w:val="24"/>
              </w:rPr>
              <w:t>   Учитывая вышеизложенное, предлагаем подпункт в) пункта 1 проекта Постановления изложить в следующей редакции: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9A3EDC">
              <w:rPr>
                <w:rFonts w:cs="Calibri"/>
              </w:rPr>
              <w:t>«нахождение под прямым или косвенным контролем Центрального банка Российской Федерации или Российской Федерации согласно перечню кредитных организаций, размещаемому Центральным банком Российской Федерации на своем официальном сайте в информационно-телекоммуникационной сети «Интернет» в соответствии с частью 3 стать 2 Федерального закона от 21.07.2014 №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</w:pPr>
            <w:r w:rsidRPr="00417CFA">
              <w:t>Банк ВТБ (ПАО)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18" w:type="dxa"/>
          </w:tcPr>
          <w:p w:rsidR="00C84BF6" w:rsidRPr="00A95637" w:rsidRDefault="00C84BF6" w:rsidP="005078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A95637">
              <w:rPr>
                <w:color w:val="000000"/>
                <w:szCs w:val="26"/>
              </w:rPr>
              <w:t>   По результатам рассмотрения проекта сообщаем следующее. На наш взгляд, проектом вводится избыточное количество критериев оценки, кроме того они не объективны и зависят в основном от суммы балансового капитала, а не от финансового состояния банка. В этих условиях большинство средних, прежде всего региональных, кредитных организаций не смогут активно работать на рынке банковских гарантий для Федеральной налоговой службы, что приведет, в конечном счете, к развитию монополизации государственных банков.</w:t>
            </w:r>
          </w:p>
          <w:p w:rsidR="00C84BF6" w:rsidRDefault="00C84BF6" w:rsidP="005078D7">
            <w:pPr>
              <w:tabs>
                <w:tab w:val="left" w:pos="426"/>
              </w:tabs>
              <w:jc w:val="both"/>
              <w:rPr>
                <w:rFonts w:cs="Calibri"/>
              </w:rPr>
            </w:pPr>
            <w:r w:rsidRPr="00A95637">
              <w:rPr>
                <w:color w:val="000000"/>
                <w:szCs w:val="26"/>
              </w:rPr>
              <w:t xml:space="preserve">   В этой связи </w:t>
            </w:r>
            <w:r w:rsidRPr="009A3EDC">
              <w:t>Торгово-промышленная палата Российской Федерации</w:t>
            </w:r>
            <w:r w:rsidRPr="00A95637">
              <w:rPr>
                <w:color w:val="000000"/>
                <w:szCs w:val="26"/>
              </w:rPr>
              <w:t xml:space="preserve"> не поддерживает данный проект.</w:t>
            </w:r>
          </w:p>
        </w:tc>
        <w:tc>
          <w:tcPr>
            <w:tcW w:w="3083" w:type="dxa"/>
          </w:tcPr>
          <w:p w:rsidR="00C84BF6" w:rsidRPr="009A3EDC" w:rsidRDefault="00C84BF6" w:rsidP="005078D7">
            <w:pPr>
              <w:jc w:val="center"/>
            </w:pPr>
            <w:r w:rsidRPr="009A3EDC">
              <w:t>Торгово-промышленная палата Российской Федерации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18" w:type="dxa"/>
          </w:tcPr>
          <w:p w:rsidR="00C84BF6" w:rsidRPr="00604A63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>В п. 3.1 Сводного отчета о проведении оценки регулирующего воздействия основная проблема, на решение которой направлен проект постановления, сформулирована следующим образом:</w:t>
            </w:r>
          </w:p>
          <w:p w:rsidR="00C84BF6" w:rsidRPr="00604A63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 xml:space="preserve">«Принятие проекта постановления позволит расширить использование банковских гарантий </w:t>
            </w:r>
            <w:r w:rsidRPr="007E5E24">
              <w:rPr>
                <w:rFonts w:cs="Calibri"/>
              </w:rPr>
              <w:t>крупнейших российских банков как надлежащего обеспечительного инструмента». Указанную проблему</w:t>
            </w:r>
            <w:r w:rsidRPr="00604A63">
              <w:rPr>
                <w:rFonts w:cs="Calibri"/>
              </w:rPr>
              <w:t xml:space="preserve"> проект постановления решает.</w:t>
            </w:r>
          </w:p>
          <w:p w:rsidR="00C84BF6" w:rsidRPr="00A95637" w:rsidRDefault="00C84BF6" w:rsidP="005078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>Однако важно учитывать, что в текущей редакции проект постановления по-прежнему лишает значительное число банков, не относящихся к категории крупнейших, возможности выдавать банковские гарантии в целях обеспечения уплаты налогов</w:t>
            </w:r>
            <w:r>
              <w:rPr>
                <w:rFonts w:cs="Calibri"/>
              </w:rPr>
              <w:t>.</w:t>
            </w:r>
          </w:p>
        </w:tc>
        <w:tc>
          <w:tcPr>
            <w:tcW w:w="3083" w:type="dxa"/>
          </w:tcPr>
          <w:p w:rsidR="00C84BF6" w:rsidRPr="009A3EDC" w:rsidRDefault="00C84BF6" w:rsidP="005078D7">
            <w:pPr>
              <w:jc w:val="center"/>
            </w:pPr>
            <w:r w:rsidRPr="008433DB">
              <w:rPr>
                <w:szCs w:val="26"/>
              </w:rPr>
              <w:t xml:space="preserve">Российский союз промышленников </w:t>
            </w:r>
            <w:r>
              <w:rPr>
                <w:szCs w:val="26"/>
              </w:rPr>
              <w:br/>
            </w:r>
            <w:r w:rsidRPr="008433DB">
              <w:rPr>
                <w:szCs w:val="26"/>
              </w:rPr>
              <w:t>и предпринимателей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518" w:type="dxa"/>
          </w:tcPr>
          <w:p w:rsidR="00C84BF6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051FC8">
              <w:rPr>
                <w:rFonts w:cs="Calibri"/>
              </w:rPr>
              <w:t>Существуют менее затратные и более эффективные способы решения проблемы</w:t>
            </w:r>
            <w:r>
              <w:rPr>
                <w:rFonts w:cs="Calibri"/>
              </w:rPr>
              <w:t>, а именно:</w:t>
            </w:r>
          </w:p>
          <w:p w:rsidR="00C84BF6" w:rsidRPr="00604A63" w:rsidRDefault="00C84BF6" w:rsidP="005078D7">
            <w:pPr>
              <w:jc w:val="both"/>
              <w:rPr>
                <w:rFonts w:cs="Calibri"/>
              </w:rPr>
            </w:pPr>
            <w:r w:rsidRPr="00604A63">
              <w:rPr>
                <w:rFonts w:cs="Calibri"/>
              </w:rPr>
              <w:t>1.</w:t>
            </w:r>
            <w:r>
              <w:rPr>
                <w:rFonts w:cs="Calibri"/>
              </w:rPr>
              <w:t> </w:t>
            </w:r>
            <w:r w:rsidRPr="00604A63">
              <w:rPr>
                <w:rFonts w:cs="Calibri"/>
              </w:rPr>
              <w:t xml:space="preserve">Базовым ограничением по-прежнему остается капитал банка. Целесообразно снизить суммовой порог </w:t>
            </w:r>
            <w:r>
              <w:rPr>
                <w:rFonts w:cs="Calibri"/>
              </w:rPr>
              <w:br/>
            </w:r>
            <w:r w:rsidRPr="00604A63">
              <w:rPr>
                <w:rFonts w:cs="Calibri"/>
              </w:rPr>
              <w:t xml:space="preserve">с 25 до 10 млрд рублей. Это позволит расширить перечень полноценно работающих участников рынка </w:t>
            </w:r>
            <w:r>
              <w:rPr>
                <w:rFonts w:cs="Calibri"/>
              </w:rPr>
              <w:br/>
            </w:r>
            <w:r w:rsidRPr="00604A63">
              <w:rPr>
                <w:rFonts w:cs="Calibri"/>
              </w:rPr>
              <w:t>с 40 до 70 банков.</w:t>
            </w:r>
          </w:p>
          <w:p w:rsidR="00C84BF6" w:rsidRPr="00A95637" w:rsidRDefault="00C84BF6" w:rsidP="005078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604A63">
              <w:rPr>
                <w:rFonts w:cs="Calibri"/>
              </w:rPr>
              <w:t>2.</w:t>
            </w:r>
            <w:r>
              <w:rPr>
                <w:rFonts w:cs="Calibri"/>
              </w:rPr>
              <w:t> </w:t>
            </w:r>
            <w:r w:rsidRPr="00604A63">
              <w:rPr>
                <w:rFonts w:cs="Calibri"/>
              </w:rPr>
              <w:t>Целесообразно конкретизировать требования к рейтингованию банков</w:t>
            </w:r>
            <w:r>
              <w:rPr>
                <w:rFonts w:cs="Calibri"/>
              </w:rPr>
              <w:t>.</w:t>
            </w:r>
          </w:p>
        </w:tc>
        <w:tc>
          <w:tcPr>
            <w:tcW w:w="3083" w:type="dxa"/>
          </w:tcPr>
          <w:p w:rsidR="00C84BF6" w:rsidRPr="009A3EDC" w:rsidRDefault="00C84BF6" w:rsidP="005078D7">
            <w:pPr>
              <w:jc w:val="center"/>
            </w:pPr>
            <w:r w:rsidRPr="008433DB">
              <w:rPr>
                <w:szCs w:val="26"/>
              </w:rPr>
              <w:t xml:space="preserve">Российский союз промышленников </w:t>
            </w:r>
            <w:r>
              <w:rPr>
                <w:szCs w:val="26"/>
              </w:rPr>
              <w:br/>
            </w:r>
            <w:r w:rsidRPr="008433DB">
              <w:rPr>
                <w:szCs w:val="26"/>
              </w:rPr>
              <w:t>и предпринимателей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18" w:type="dxa"/>
          </w:tcPr>
          <w:p w:rsidR="00C84BF6" w:rsidRDefault="00C84BF6" w:rsidP="005078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rFonts w:cs="Calibri"/>
              </w:rPr>
              <w:t xml:space="preserve">   Также </w:t>
            </w:r>
            <w:r w:rsidRPr="00051FC8">
              <w:rPr>
                <w:rFonts w:cs="Calibri"/>
              </w:rPr>
              <w:t xml:space="preserve">проект акта </w:t>
            </w:r>
            <w:r>
              <w:rPr>
                <w:rFonts w:cs="Calibri"/>
              </w:rPr>
              <w:t>содержит</w:t>
            </w:r>
            <w:r w:rsidRPr="00051FC8">
              <w:rPr>
                <w:rFonts w:cs="Calibri"/>
              </w:rPr>
              <w:t xml:space="preserve"> нормы, положения и термины, позволяющие их толковать неоднозначно</w:t>
            </w:r>
            <w:r>
              <w:rPr>
                <w:rFonts w:cs="Calibri"/>
              </w:rPr>
              <w:t>.</w:t>
            </w:r>
          </w:p>
          <w:p w:rsidR="00C84BF6" w:rsidRPr="00604A63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>Подп. «г» п. 1 проекта постановления четко устанавливает, рейтинг каких рейтинговых агентств может быть использован для целей выдачи банковских гарантий в сфере налогообложения: это рейтинговые агентства, внесенные Банком России в реестр кредитных рейтинговых агентств, чья методология по осуществлению рейтинговой деятельности в отношении присвоения кредитных рейтингов банкам и банковским группам подтверждена Банком России на соответствие требованиям, предусмотренным Федеральным законом от 13.07.2015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Федерации».</w:t>
            </w:r>
          </w:p>
          <w:p w:rsidR="00C84BF6" w:rsidRPr="00604A63" w:rsidRDefault="00C84BF6" w:rsidP="005078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>В то же время п. п. 2 и 3 проекта постановления содержат положения о том, что для целей работы указанных в этих пунктах банков</w:t>
            </w:r>
            <w:r>
              <w:rPr>
                <w:rFonts w:cs="Calibri"/>
              </w:rPr>
              <w:t>,</w:t>
            </w:r>
            <w:r w:rsidRPr="00604A63">
              <w:rPr>
                <w:rFonts w:cs="Calibri"/>
              </w:rPr>
              <w:t xml:space="preserve"> перечень рейтинговых агентств будет отдельно утверждаться Правительством Российской Федерации.</w:t>
            </w:r>
          </w:p>
          <w:p w:rsidR="00C84BF6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604A63">
              <w:rPr>
                <w:rFonts w:cs="Calibri"/>
              </w:rPr>
              <w:t>В этой связи возникает вопрос о том, будет ли банк иметь право предоставлять банковские гарантии в сфере налогообложения в случае, если рейтинговое агентство, предоставившее такому банку рейтинг соответствующего уровня, отвечает всем требованиям подп. «г» п. 1 проекта постановления, но при этом не является рейтинговым агентством, определенным Правительством Российской Федерации для целей применения п. п. 2 или 3 проекта постановления</w:t>
            </w:r>
            <w:r>
              <w:rPr>
                <w:rFonts w:cs="Calibri"/>
              </w:rPr>
              <w:t>.</w:t>
            </w:r>
          </w:p>
          <w:p w:rsidR="00C84BF6" w:rsidRPr="00A95637" w:rsidRDefault="00C84BF6" w:rsidP="005078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>
              <w:rPr>
                <w:rFonts w:cs="Calibri"/>
              </w:rPr>
              <w:t>   Кроме того, ц</w:t>
            </w:r>
            <w:r w:rsidRPr="00604A63">
              <w:rPr>
                <w:rFonts w:cs="Calibri"/>
              </w:rPr>
              <w:t>елесообразно отложить вступление в силу предлагаемого проекта постановления до момента обнародования требований к рейтингам банков</w:t>
            </w:r>
            <w:r>
              <w:rPr>
                <w:rFonts w:cs="Calibri"/>
              </w:rPr>
              <w:t>.</w:t>
            </w:r>
          </w:p>
        </w:tc>
        <w:tc>
          <w:tcPr>
            <w:tcW w:w="3083" w:type="dxa"/>
          </w:tcPr>
          <w:p w:rsidR="00C84BF6" w:rsidRPr="009A3EDC" w:rsidRDefault="00C84BF6" w:rsidP="005078D7">
            <w:pPr>
              <w:jc w:val="center"/>
            </w:pPr>
            <w:r w:rsidRPr="008433DB">
              <w:rPr>
                <w:szCs w:val="26"/>
              </w:rPr>
              <w:t xml:space="preserve">Российский союз промышленников </w:t>
            </w:r>
            <w:r>
              <w:rPr>
                <w:szCs w:val="26"/>
              </w:rPr>
              <w:br/>
            </w:r>
            <w:r w:rsidRPr="008433DB">
              <w:rPr>
                <w:szCs w:val="26"/>
              </w:rPr>
              <w:t>и предпринимателей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518" w:type="dxa"/>
          </w:tcPr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Требуется р</w:t>
            </w:r>
            <w:r w:rsidRPr="00DA1014">
              <w:rPr>
                <w:rFonts w:cs="Calibri"/>
              </w:rPr>
              <w:t xml:space="preserve">азработать более подробную методологию расчета величины портфеля гарантий, зависящую не только от капитала банка и рейтинга, но и иных объективных показателей (исполнение нормативов, ликвидность, качество активов и т.п.) 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П</w:t>
            </w:r>
            <w:r w:rsidRPr="00DA1014">
              <w:rPr>
                <w:rFonts w:cs="Calibri"/>
              </w:rPr>
              <w:t xml:space="preserve">роект акта </w:t>
            </w:r>
            <w:r>
              <w:rPr>
                <w:rFonts w:cs="Calibri"/>
              </w:rPr>
              <w:t>с</w:t>
            </w:r>
            <w:r w:rsidRPr="00DA1014">
              <w:rPr>
                <w:rFonts w:cs="Calibri"/>
              </w:rPr>
              <w:t xml:space="preserve">одержит положения, трактуемые неоднозначно: Противоречие может заключаться в случаях, когда за счет снижения капитала банка уже после выдачи гарантии </w:t>
            </w:r>
            <w:r>
              <w:rPr>
                <w:rFonts w:cs="Calibri"/>
              </w:rPr>
              <w:t>–</w:t>
            </w:r>
            <w:r w:rsidRPr="00DA1014">
              <w:rPr>
                <w:rFonts w:cs="Calibri"/>
              </w:rPr>
              <w:t xml:space="preserve"> она может быть не принята или признана ФНС</w:t>
            </w:r>
            <w:r>
              <w:rPr>
                <w:rFonts w:cs="Calibri"/>
              </w:rPr>
              <w:t xml:space="preserve"> России</w:t>
            </w:r>
            <w:r w:rsidRPr="00DA1014">
              <w:rPr>
                <w:rFonts w:cs="Calibri"/>
              </w:rPr>
              <w:t xml:space="preserve"> недействительной</w:t>
            </w:r>
            <w:r>
              <w:rPr>
                <w:rFonts w:cs="Calibri"/>
              </w:rPr>
              <w:t>.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DA1014">
              <w:rPr>
                <w:rFonts w:cs="Calibri"/>
              </w:rPr>
              <w:t>Требуется переходный период</w:t>
            </w:r>
            <w:r>
              <w:rPr>
                <w:rFonts w:cs="Calibri"/>
              </w:rPr>
              <w:t xml:space="preserve"> – г</w:t>
            </w:r>
            <w:r w:rsidRPr="00DA1014">
              <w:rPr>
                <w:rFonts w:cs="Calibri"/>
              </w:rPr>
              <w:t>од</w:t>
            </w:r>
            <w:r>
              <w:rPr>
                <w:rFonts w:cs="Calibri"/>
              </w:rPr>
              <w:t>.</w:t>
            </w:r>
            <w:r w:rsidRPr="00DA1014">
              <w:rPr>
                <w:rFonts w:cs="Calibri"/>
              </w:rPr>
              <w:t xml:space="preserve"> 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Кроме того: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1) </w:t>
            </w:r>
            <w:r w:rsidRPr="00DA1014">
              <w:rPr>
                <w:rFonts w:cs="Calibri"/>
              </w:rPr>
              <w:t xml:space="preserve">Применение ограничений целесообразно в момент выдачи гарантий с расчетом значений, исходя </w:t>
            </w:r>
            <w:r>
              <w:rPr>
                <w:rFonts w:cs="Calibri"/>
              </w:rPr>
              <w:br/>
            </w:r>
            <w:r w:rsidRPr="00DA1014">
              <w:rPr>
                <w:rFonts w:cs="Calibri"/>
              </w:rPr>
              <w:t xml:space="preserve">из показателей Банков на последнюю отчетную дату. Таким образом если на момент выдачи гарантии, она удовлетворяла ограничениям, то в течение жизни гарантии она должна приниматься налоговыми органами несмотря, например, на возможное дальнейшее превышение рассматриваемых ограничений за счет снижения капитала. 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2) </w:t>
            </w:r>
            <w:r w:rsidRPr="00DA1014">
              <w:rPr>
                <w:rFonts w:cs="Calibri"/>
              </w:rPr>
              <w:t xml:space="preserve">В проекте необходимо предусмотреть наличие четко установленных рейтингов, на основании которых, будет приниматься решение о значениях накладываемых ограничений. На наш взгляд, рейтинг целесообразно установить от "В" и выше (по международной шкале международных рейтинговых агентств). </w:t>
            </w:r>
            <w:r w:rsidRPr="00DA1014">
              <w:rPr>
                <w:rFonts w:cs="Calibri"/>
              </w:rPr>
              <w:br/>
            </w:r>
            <w:r>
              <w:rPr>
                <w:rFonts w:cs="Calibri"/>
              </w:rPr>
              <w:t>3) </w:t>
            </w:r>
            <w:r w:rsidRPr="00DA1014">
              <w:rPr>
                <w:rFonts w:cs="Calibri"/>
              </w:rPr>
              <w:t xml:space="preserve">Портфельное ограничение 20% от капитала (предусмотренное в п.2 проекта Постановления) представляется заниженным и не совсем обосновывающим экономические риски бенефициара. </w:t>
            </w:r>
            <w:r w:rsidRPr="00DA1014">
              <w:rPr>
                <w:rFonts w:cs="Calibri"/>
              </w:rPr>
              <w:br/>
            </w:r>
            <w:r>
              <w:rPr>
                <w:rFonts w:cs="Calibri"/>
              </w:rPr>
              <w:t>   </w:t>
            </w:r>
            <w:r w:rsidRPr="00DA1014">
              <w:rPr>
                <w:rFonts w:cs="Calibri"/>
              </w:rPr>
              <w:t xml:space="preserve">С учетом небольшого индивидуального ограничения на одну гарантию (5%), портфель гарантий представляется высокодиверсифицированным, в связи с чем, возможно без повышения рискованности портфеля </w:t>
            </w:r>
            <w:r>
              <w:rPr>
                <w:rFonts w:cs="Calibri"/>
              </w:rPr>
              <w:t>–</w:t>
            </w:r>
            <w:r w:rsidRPr="00DA1014">
              <w:rPr>
                <w:rFonts w:cs="Calibri"/>
              </w:rPr>
              <w:t xml:space="preserve"> повышение порога совокупного объема гарантий. Также обращаем внимание, что нормативными документами Банка России предусмотрены нормативы Н6/Н21, регулирующие риски концентрации </w:t>
            </w:r>
            <w:r>
              <w:rPr>
                <w:rFonts w:cs="Calibri"/>
              </w:rPr>
              <w:br/>
            </w:r>
            <w:r w:rsidRPr="00DA1014">
              <w:rPr>
                <w:rFonts w:cs="Calibri"/>
              </w:rPr>
              <w:t xml:space="preserve">на Группу связанных заемщиков, что на системном уровне ограничивает объем требований (в т.ч. гарантий) на одну группу лиц и размер которых составляет 25% от капитала Банка.  </w:t>
            </w:r>
          </w:p>
          <w:p w:rsidR="00C84BF6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   </w:t>
            </w:r>
            <w:r w:rsidRPr="00DA1014">
              <w:rPr>
                <w:rFonts w:cs="Calibri"/>
              </w:rPr>
              <w:t xml:space="preserve">Также обращаем Ваше внимание, что слишком жесткие ограничения по рейтингу или ограничения </w:t>
            </w:r>
            <w:r>
              <w:rPr>
                <w:rFonts w:cs="Calibri"/>
              </w:rPr>
              <w:br/>
            </w:r>
            <w:r w:rsidRPr="00DA1014">
              <w:rPr>
                <w:rFonts w:cs="Calibri"/>
              </w:rPr>
              <w:t xml:space="preserve">на объем портфеля выданных гарантий негативно повлияет на конкуренцию в банковской среде, </w:t>
            </w:r>
            <w:r>
              <w:rPr>
                <w:rFonts w:cs="Calibri"/>
              </w:rPr>
              <w:br/>
            </w:r>
            <w:r w:rsidRPr="00DA1014">
              <w:rPr>
                <w:rFonts w:cs="Calibri"/>
              </w:rPr>
              <w:t>что повлечет повышение тарифов и ухудшение иных условий для субъектов предпринимательства.</w:t>
            </w:r>
          </w:p>
        </w:tc>
        <w:tc>
          <w:tcPr>
            <w:tcW w:w="3083" w:type="dxa"/>
          </w:tcPr>
          <w:p w:rsidR="00C84BF6" w:rsidRDefault="00C84BF6" w:rsidP="005078D7">
            <w:pPr>
              <w:jc w:val="center"/>
              <w:rPr>
                <w:rFonts w:cs="Calibri"/>
                <w:szCs w:val="20"/>
              </w:rPr>
            </w:pPr>
            <w:r w:rsidRPr="00DA1014">
              <w:rPr>
                <w:rFonts w:cs="Calibri"/>
                <w:szCs w:val="20"/>
              </w:rPr>
              <w:t>АКБ</w:t>
            </w:r>
            <w:r>
              <w:rPr>
                <w:rFonts w:cs="Calibri"/>
                <w:szCs w:val="20"/>
              </w:rPr>
              <w:t xml:space="preserve"> </w:t>
            </w:r>
            <w:r w:rsidRPr="00DA1014">
              <w:rPr>
                <w:rFonts w:cs="Calibri"/>
                <w:szCs w:val="20"/>
              </w:rPr>
              <w:t>«Абсолют Банк»</w:t>
            </w:r>
            <w:r>
              <w:rPr>
                <w:rFonts w:cs="Calibri"/>
                <w:szCs w:val="20"/>
              </w:rPr>
              <w:t xml:space="preserve"> </w:t>
            </w:r>
            <w:r w:rsidRPr="00DA1014">
              <w:rPr>
                <w:rFonts w:cs="Calibri"/>
                <w:szCs w:val="20"/>
              </w:rPr>
              <w:t>(ПАО)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518" w:type="dxa"/>
          </w:tcPr>
          <w:p w:rsidR="00C84BF6" w:rsidRPr="000A670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704">
              <w:rPr>
                <w:rFonts w:cs="Calibri"/>
              </w:rPr>
              <w:t>   1. Установить максимальную сумму всех одновременно действующих банковских гарантий, выданных одним банком, в размере 100% от величины собственных средств (капитала) банка.</w:t>
            </w:r>
          </w:p>
          <w:p w:rsidR="00C84BF6" w:rsidRPr="000A670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704">
              <w:rPr>
                <w:rFonts w:cs="Calibri"/>
              </w:rPr>
              <w:t>   2. Пункт 1 подпункт г) изложить в следующей редакции: «г) наличие уровня кредитного рейтинга, присвоенного банку по национальной рейтинговой шкале одним или несколькими кредитными рейтинговыми агентствами, внесенными Банком России в реестр кредитных рейтинговых агентств, чья методология по осуществлению рейтинговой деятельности в отношении присвоения кредитных рейтингов банкам и банковским группам подтверждена Банком России на соответствие требованиям, предусмотренным Феде</w:t>
            </w:r>
            <w:r>
              <w:rPr>
                <w:rFonts w:cs="Calibri"/>
              </w:rPr>
              <w:t>ральным законом от 13.07.2015 № </w:t>
            </w:r>
            <w:r w:rsidRPr="000A6704">
              <w:rPr>
                <w:rFonts w:cs="Calibri"/>
              </w:rPr>
              <w:t>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 или наличие уровня кредитного рейтинга, присвоенного одним из международных рейтинговых агентств Moody's Investors Service (Moody's), Fitch Ratings и Standard &amp; Poor's (S&amp;P)».</w:t>
            </w:r>
          </w:p>
        </w:tc>
        <w:tc>
          <w:tcPr>
            <w:tcW w:w="3083" w:type="dxa"/>
          </w:tcPr>
          <w:p w:rsidR="00C84BF6" w:rsidRPr="000A6704" w:rsidRDefault="00C84BF6" w:rsidP="005078D7">
            <w:pPr>
              <w:jc w:val="center"/>
              <w:rPr>
                <w:rFonts w:cs="Calibri"/>
                <w:szCs w:val="20"/>
              </w:rPr>
            </w:pPr>
            <w:r w:rsidRPr="000A6704">
              <w:rPr>
                <w:sz w:val="26"/>
                <w:szCs w:val="26"/>
              </w:rPr>
              <w:t>ПАО «Промсвязьбанк»</w:t>
            </w:r>
          </w:p>
        </w:tc>
      </w:tr>
      <w:tr w:rsidR="00C84BF6" w:rsidRPr="00406B24" w:rsidTr="005078D7">
        <w:trPr>
          <w:trHeight w:val="550"/>
          <w:jc w:val="center"/>
        </w:trPr>
        <w:tc>
          <w:tcPr>
            <w:tcW w:w="577" w:type="dxa"/>
            <w:vAlign w:val="center"/>
          </w:tcPr>
          <w:p w:rsidR="00C84BF6" w:rsidRDefault="00C84BF6" w:rsidP="0050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518" w:type="dxa"/>
          </w:tcPr>
          <w:p w:rsidR="00C84BF6" w:rsidRPr="000A670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704">
              <w:rPr>
                <w:rFonts w:cs="Calibri"/>
              </w:rPr>
              <w:t>   3. Пункт 1 дополнить подпунктом д) в следующей редакции: «д) банк отнесен к перечню системно значимых кредитных организаций в соответствии с Указани</w:t>
            </w:r>
            <w:r>
              <w:rPr>
                <w:rFonts w:cs="Calibri"/>
              </w:rPr>
              <w:t>ем Банка России от 22.07.2015 № </w:t>
            </w:r>
            <w:r w:rsidRPr="000A6704">
              <w:rPr>
                <w:rFonts w:cs="Calibri"/>
              </w:rPr>
              <w:t xml:space="preserve">3737-У </w:t>
            </w:r>
            <w:r>
              <w:rPr>
                <w:rFonts w:cs="Calibri"/>
              </w:rPr>
              <w:br/>
            </w:r>
            <w:r w:rsidRPr="000A6704">
              <w:rPr>
                <w:rFonts w:cs="Calibri"/>
              </w:rPr>
              <w:t>«О методике определения системно значимых кредитных организаций».</w:t>
            </w:r>
          </w:p>
          <w:p w:rsidR="00C84BF6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704">
              <w:rPr>
                <w:rFonts w:cs="Calibri"/>
              </w:rPr>
              <w:t xml:space="preserve">   4. Пункт 1 дополнить подпунктом е) в следующей редакции: «е) банк является участником программы Государственной корпорации </w:t>
            </w:r>
            <w:r>
              <w:rPr>
                <w:rFonts w:cs="Calibri"/>
              </w:rPr>
              <w:t>«</w:t>
            </w:r>
            <w:r w:rsidRPr="000A6704">
              <w:rPr>
                <w:rFonts w:cs="Calibri"/>
              </w:rPr>
              <w:t>Агентство по страхованию вкладов</w:t>
            </w:r>
            <w:r>
              <w:rPr>
                <w:rFonts w:cs="Calibri"/>
              </w:rPr>
              <w:t>»</w:t>
            </w:r>
            <w:r w:rsidRPr="000A6704">
              <w:rPr>
                <w:rFonts w:cs="Calibri"/>
              </w:rPr>
              <w:t xml:space="preserve"> (АСВ) по дока</w:t>
            </w:r>
            <w:r>
              <w:rPr>
                <w:rFonts w:cs="Calibri"/>
              </w:rPr>
              <w:t>п</w:t>
            </w:r>
            <w:r w:rsidRPr="000A6704">
              <w:rPr>
                <w:rFonts w:cs="Calibri"/>
              </w:rPr>
              <w:t>итализации банков через облигации федерального займа (ОФЗ)».</w:t>
            </w:r>
          </w:p>
          <w:p w:rsidR="00C84BF6" w:rsidRPr="00DA1014" w:rsidRDefault="00C84BF6" w:rsidP="005078D7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A6704">
              <w:rPr>
                <w:rFonts w:cs="Calibri"/>
              </w:rPr>
              <w:t xml:space="preserve">   5. Пункт 2 изложить в следующей редакции: «Установить для банков, которые имеют собственные средства (капитал) банка свыше 25 млрд. рублей, соответствуют критериям, предусмотренным подпунктами «а-б» пункта 1 настоящего постановления, и соответствуют хотя бы одному из критериев, предусмотренными подпунктами «в-е» пункта 1 настоящего постановления, максимальную сумму всех одновременно действующих банковских гарантий, выданных одним банком, в размере 100% от величины собственных средств (капитала) банка, а максимальную сумму одной банковской гарантии в размере 5% </w:t>
            </w:r>
            <w:r>
              <w:rPr>
                <w:rFonts w:cs="Calibri"/>
              </w:rPr>
              <w:br/>
            </w:r>
            <w:r w:rsidRPr="000A6704">
              <w:rPr>
                <w:rFonts w:cs="Calibri"/>
              </w:rPr>
              <w:t>от величины собственных средств (капитала) банка. Уровни кредитных рейтингов и рейтинговые агентства в целях настоящего пункта определяются Правительством Российской Федерации».</w:t>
            </w:r>
          </w:p>
        </w:tc>
        <w:tc>
          <w:tcPr>
            <w:tcW w:w="3083" w:type="dxa"/>
          </w:tcPr>
          <w:p w:rsidR="00C84BF6" w:rsidRPr="000A6704" w:rsidRDefault="00C84BF6" w:rsidP="005078D7">
            <w:pPr>
              <w:jc w:val="center"/>
              <w:rPr>
                <w:rFonts w:cs="Calibri"/>
                <w:szCs w:val="20"/>
              </w:rPr>
            </w:pPr>
            <w:r w:rsidRPr="000A6704">
              <w:rPr>
                <w:sz w:val="26"/>
                <w:szCs w:val="26"/>
              </w:rPr>
              <w:t>ПАО «Промсвязьбанк»</w:t>
            </w:r>
          </w:p>
        </w:tc>
      </w:tr>
    </w:tbl>
    <w:p w:rsidR="00C84BF6" w:rsidRPr="003F5147" w:rsidRDefault="00C84BF6" w:rsidP="0045737C">
      <w:pPr>
        <w:rPr>
          <w:sz w:val="2"/>
        </w:rPr>
      </w:pPr>
    </w:p>
    <w:p w:rsidR="00C84BF6" w:rsidRPr="00D2626F" w:rsidRDefault="00C84BF6" w:rsidP="004578E9">
      <w:pPr>
        <w:pStyle w:val="ConsPlusNonformat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4BF6" w:rsidRPr="00D2626F" w:rsidSect="0045737C">
      <w:headerReference w:type="even" r:id="rId10"/>
      <w:headerReference w:type="default" r:id="rId11"/>
      <w:pgSz w:w="16838" w:h="11906" w:orient="landscape"/>
      <w:pgMar w:top="709" w:right="1134" w:bottom="567" w:left="902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F6" w:rsidRDefault="00C84BF6">
      <w:r>
        <w:separator/>
      </w:r>
    </w:p>
  </w:endnote>
  <w:endnote w:type="continuationSeparator" w:id="0">
    <w:p w:rsidR="00C84BF6" w:rsidRDefault="00C8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F6" w:rsidRDefault="00C84BF6">
      <w:r>
        <w:separator/>
      </w:r>
    </w:p>
  </w:footnote>
  <w:footnote w:type="continuationSeparator" w:id="0">
    <w:p w:rsidR="00C84BF6" w:rsidRDefault="00C84BF6">
      <w:r>
        <w:continuationSeparator/>
      </w:r>
    </w:p>
  </w:footnote>
  <w:footnote w:id="1">
    <w:p w:rsidR="00C84BF6" w:rsidRDefault="00C84BF6" w:rsidP="00FD0F34">
      <w:pPr>
        <w:pStyle w:val="FootnoteText"/>
      </w:pPr>
      <w:r w:rsidRPr="00AC4E6D">
        <w:rPr>
          <w:rStyle w:val="FootnoteReference"/>
        </w:rPr>
        <w:footnoteRef/>
      </w:r>
      <w:r w:rsidRPr="00AC4E6D">
        <w:t xml:space="preserve"> </w:t>
      </w:r>
      <w:r w:rsidRPr="00AC4E6D">
        <w:rPr>
          <w:lang w:val="en-US"/>
        </w:rPr>
        <w:t>http</w:t>
      </w:r>
      <w:r w:rsidRPr="00AC4E6D">
        <w:t>://www.otc.ru/academy/articles/bg_i_223_fz</w:t>
      </w:r>
    </w:p>
  </w:footnote>
  <w:footnote w:id="2">
    <w:p w:rsidR="00C84BF6" w:rsidRDefault="00C84BF6" w:rsidP="00FD0F34">
      <w:pPr>
        <w:pStyle w:val="FootnoteText"/>
      </w:pPr>
      <w:r w:rsidRPr="00AC4E6D">
        <w:rPr>
          <w:rStyle w:val="FootnoteReference"/>
        </w:rPr>
        <w:footnoteRef/>
      </w:r>
      <w:r w:rsidRPr="00AC4E6D">
        <w:t xml:space="preserve"> </w:t>
      </w:r>
      <w:hyperlink r:id="rId1" w:history="1">
        <w:r w:rsidRPr="00AC4E6D">
          <w:rPr>
            <w:rStyle w:val="Hyperlink"/>
            <w:color w:val="auto"/>
            <w:u w:val="none"/>
            <w:lang w:val="en-US"/>
          </w:rPr>
          <w:t>http</w:t>
        </w:r>
        <w:r w:rsidRPr="00AC4E6D">
          <w:rPr>
            <w:rStyle w:val="Hyperlink"/>
            <w:color w:val="auto"/>
            <w:u w:val="none"/>
          </w:rPr>
          <w:t>://</w:t>
        </w:r>
        <w:r w:rsidRPr="00AC4E6D">
          <w:rPr>
            <w:rStyle w:val="Hyperlink"/>
            <w:color w:val="auto"/>
            <w:u w:val="none"/>
            <w:lang w:val="en-US"/>
          </w:rPr>
          <w:t>www</w:t>
        </w:r>
        <w:r w:rsidRPr="00AC4E6D">
          <w:rPr>
            <w:rStyle w:val="Hyperlink"/>
            <w:color w:val="auto"/>
            <w:u w:val="none"/>
          </w:rPr>
          <w:t>.</w:t>
        </w:r>
        <w:r w:rsidRPr="00AC4E6D">
          <w:rPr>
            <w:rStyle w:val="Hyperlink"/>
            <w:color w:val="auto"/>
            <w:u w:val="none"/>
            <w:lang w:val="en-US"/>
          </w:rPr>
          <w:t>sberbank</w:t>
        </w:r>
        <w:r w:rsidRPr="00AC4E6D">
          <w:rPr>
            <w:rStyle w:val="Hyperlink"/>
            <w:color w:val="auto"/>
            <w:u w:val="none"/>
          </w:rPr>
          <w:t>.</w:t>
        </w:r>
        <w:r w:rsidRPr="00AC4E6D">
          <w:rPr>
            <w:rStyle w:val="Hyperlink"/>
            <w:color w:val="auto"/>
            <w:u w:val="none"/>
            <w:lang w:val="en-US"/>
          </w:rPr>
          <w:t>ru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ru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legal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credits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warranties</w:t>
        </w:r>
      </w:hyperlink>
      <w:r w:rsidRPr="00AC4E6D">
        <w:t xml:space="preserve">; </w:t>
      </w:r>
      <w:hyperlink r:id="rId2" w:history="1">
        <w:r w:rsidRPr="00AC4E6D">
          <w:rPr>
            <w:rStyle w:val="Hyperlink"/>
            <w:color w:val="auto"/>
            <w:u w:val="none"/>
            <w:lang w:val="en-US"/>
          </w:rPr>
          <w:t>http</w:t>
        </w:r>
        <w:r w:rsidRPr="00AC4E6D">
          <w:rPr>
            <w:rStyle w:val="Hyperlink"/>
            <w:color w:val="auto"/>
            <w:u w:val="none"/>
          </w:rPr>
          <w:t>://</w:t>
        </w:r>
        <w:r w:rsidRPr="00AC4E6D">
          <w:rPr>
            <w:rStyle w:val="Hyperlink"/>
            <w:color w:val="auto"/>
            <w:u w:val="none"/>
            <w:lang w:val="en-US"/>
          </w:rPr>
          <w:t>www</w:t>
        </w:r>
        <w:r w:rsidRPr="00AC4E6D">
          <w:rPr>
            <w:rStyle w:val="Hyperlink"/>
            <w:color w:val="auto"/>
            <w:u w:val="none"/>
          </w:rPr>
          <w:t>.</w:t>
        </w:r>
        <w:r w:rsidRPr="00AC4E6D">
          <w:rPr>
            <w:rStyle w:val="Hyperlink"/>
            <w:color w:val="auto"/>
            <w:u w:val="none"/>
            <w:lang w:val="en-US"/>
          </w:rPr>
          <w:t>rshb</w:t>
        </w:r>
        <w:r w:rsidRPr="00AC4E6D">
          <w:rPr>
            <w:rStyle w:val="Hyperlink"/>
            <w:color w:val="auto"/>
            <w:u w:val="none"/>
          </w:rPr>
          <w:t>.</w:t>
        </w:r>
        <w:r w:rsidRPr="00AC4E6D">
          <w:rPr>
            <w:rStyle w:val="Hyperlink"/>
            <w:color w:val="auto"/>
            <w:u w:val="none"/>
            <w:lang w:val="en-US"/>
          </w:rPr>
          <w:t>ru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legal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credits</w:t>
        </w:r>
        <w:r w:rsidRPr="00AC4E6D">
          <w:rPr>
            <w:rStyle w:val="Hyperlink"/>
            <w:color w:val="auto"/>
            <w:u w:val="none"/>
          </w:rPr>
          <w:t>/</w:t>
        </w:r>
        <w:r w:rsidRPr="00AC4E6D">
          <w:rPr>
            <w:rStyle w:val="Hyperlink"/>
            <w:color w:val="auto"/>
            <w:u w:val="none"/>
            <w:lang w:val="en-US"/>
          </w:rPr>
          <w:t>garant</w:t>
        </w:r>
      </w:hyperlink>
      <w:r w:rsidRPr="00AC4E6D">
        <w:t xml:space="preserve">; </w:t>
      </w:r>
      <w:r w:rsidRPr="00AC4E6D">
        <w:rPr>
          <w:lang w:val="en-US"/>
        </w:rPr>
        <w:t>www</w:t>
      </w:r>
      <w:r w:rsidRPr="00AC4E6D">
        <w:t>.</w:t>
      </w:r>
      <w:r w:rsidRPr="00AC4E6D">
        <w:rPr>
          <w:lang w:val="en-US"/>
        </w:rPr>
        <w:t>bankuralsib</w:t>
      </w:r>
      <w:r w:rsidRPr="00AC4E6D">
        <w:t>.</w:t>
      </w:r>
      <w:r w:rsidRPr="00AC4E6D">
        <w:rPr>
          <w:lang w:val="en-US"/>
        </w:rPr>
        <w:t>ru</w:t>
      </w:r>
      <w:r w:rsidRPr="00AC4E6D">
        <w:t>/</w:t>
      </w:r>
      <w:r w:rsidRPr="00AC4E6D">
        <w:rPr>
          <w:lang w:val="en-US"/>
        </w:rPr>
        <w:t>smallbussiness</w:t>
      </w:r>
      <w:r w:rsidRPr="00AC4E6D">
        <w:t>/</w:t>
      </w:r>
      <w:r w:rsidRPr="00AC4E6D">
        <w:rPr>
          <w:lang w:val="en-US"/>
        </w:rPr>
        <w:t>credits</w:t>
      </w:r>
      <w:r w:rsidRPr="00AC4E6D">
        <w:t>/</w:t>
      </w:r>
      <w:r w:rsidRPr="00AC4E6D">
        <w:rPr>
          <w:lang w:val="en-US"/>
        </w:rPr>
        <w:t>garantia</w:t>
      </w:r>
      <w:r w:rsidRPr="00AC4E6D">
        <w:t>.</w:t>
      </w:r>
      <w:r w:rsidRPr="00AC4E6D">
        <w:rPr>
          <w:lang w:val="en-US"/>
        </w:rPr>
        <w:t>wbp</w:t>
      </w:r>
      <w:r w:rsidRPr="00AC4E6D"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F6" w:rsidRPr="00592850" w:rsidRDefault="00C84BF6" w:rsidP="003F030E">
    <w:pPr>
      <w:pStyle w:val="Header"/>
      <w:spacing w:line="360" w:lineRule="auto"/>
      <w:jc w:val="center"/>
      <w:rPr>
        <w:sz w:val="26"/>
        <w:szCs w:val="26"/>
        <w:lang/>
      </w:rPr>
    </w:pPr>
    <w:r w:rsidRPr="00592850">
      <w:rPr>
        <w:sz w:val="26"/>
        <w:szCs w:val="26"/>
      </w:rPr>
      <w:fldChar w:fldCharType="begin"/>
    </w:r>
    <w:r w:rsidRPr="00592850">
      <w:rPr>
        <w:sz w:val="26"/>
        <w:szCs w:val="26"/>
      </w:rPr>
      <w:instrText xml:space="preserve"> PAGE   \* MERGEFORMAT </w:instrText>
    </w:r>
    <w:r w:rsidRPr="00592850">
      <w:rPr>
        <w:sz w:val="26"/>
        <w:szCs w:val="26"/>
      </w:rPr>
      <w:fldChar w:fldCharType="separate"/>
    </w:r>
    <w:r>
      <w:rPr>
        <w:noProof/>
        <w:sz w:val="26"/>
        <w:szCs w:val="26"/>
      </w:rPr>
      <w:t>10</w:t>
    </w:r>
    <w:r w:rsidRPr="00592850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F6" w:rsidRDefault="00C84BF6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BF6" w:rsidRDefault="00C84B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F6" w:rsidRDefault="00C84BF6" w:rsidP="00874858">
    <w:pPr>
      <w:pStyle w:val="Header"/>
      <w:spacing w:line="360" w:lineRule="auto"/>
      <w:jc w:val="center"/>
    </w:pPr>
    <w:fldSimple w:instr="PAGE   \* MERGEFORMAT">
      <w:r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B7ABF"/>
    <w:multiLevelType w:val="hybridMultilevel"/>
    <w:tmpl w:val="7250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7A4"/>
    <w:multiLevelType w:val="hybridMultilevel"/>
    <w:tmpl w:val="7C1A6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F7358"/>
    <w:multiLevelType w:val="hybridMultilevel"/>
    <w:tmpl w:val="A1A4BFD8"/>
    <w:lvl w:ilvl="0" w:tplc="BD9826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F9D70AD"/>
    <w:multiLevelType w:val="hybridMultilevel"/>
    <w:tmpl w:val="C34A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6">
    <w:nsid w:val="2E06578C"/>
    <w:multiLevelType w:val="multilevel"/>
    <w:tmpl w:val="19CC22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9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0">
    <w:nsid w:val="6BD059FC"/>
    <w:multiLevelType w:val="hybridMultilevel"/>
    <w:tmpl w:val="A380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81"/>
    <w:rsid w:val="0000063E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3B0"/>
    <w:rsid w:val="000048B7"/>
    <w:rsid w:val="000049AB"/>
    <w:rsid w:val="00004D4C"/>
    <w:rsid w:val="00004EE6"/>
    <w:rsid w:val="00005297"/>
    <w:rsid w:val="0000537B"/>
    <w:rsid w:val="0000572A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535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6E6"/>
    <w:rsid w:val="00010B19"/>
    <w:rsid w:val="0001102F"/>
    <w:rsid w:val="000112E3"/>
    <w:rsid w:val="00011436"/>
    <w:rsid w:val="00011453"/>
    <w:rsid w:val="00011562"/>
    <w:rsid w:val="0001165F"/>
    <w:rsid w:val="0001170D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4A68"/>
    <w:rsid w:val="000154EE"/>
    <w:rsid w:val="00015AAA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53D"/>
    <w:rsid w:val="00020903"/>
    <w:rsid w:val="00020C72"/>
    <w:rsid w:val="00020CCB"/>
    <w:rsid w:val="0002111B"/>
    <w:rsid w:val="0002165D"/>
    <w:rsid w:val="000218C5"/>
    <w:rsid w:val="000219B3"/>
    <w:rsid w:val="000219F3"/>
    <w:rsid w:val="00021B13"/>
    <w:rsid w:val="00021D1A"/>
    <w:rsid w:val="00021EFD"/>
    <w:rsid w:val="00022521"/>
    <w:rsid w:val="0002275F"/>
    <w:rsid w:val="0002284B"/>
    <w:rsid w:val="000228E7"/>
    <w:rsid w:val="00022B5A"/>
    <w:rsid w:val="00023243"/>
    <w:rsid w:val="00023520"/>
    <w:rsid w:val="00023CF5"/>
    <w:rsid w:val="000243D0"/>
    <w:rsid w:val="000244A1"/>
    <w:rsid w:val="000244CE"/>
    <w:rsid w:val="000245D9"/>
    <w:rsid w:val="00024D50"/>
    <w:rsid w:val="00024EE7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2E9"/>
    <w:rsid w:val="00035E6B"/>
    <w:rsid w:val="00035F37"/>
    <w:rsid w:val="00036000"/>
    <w:rsid w:val="00036099"/>
    <w:rsid w:val="0003678B"/>
    <w:rsid w:val="00036C63"/>
    <w:rsid w:val="00036C82"/>
    <w:rsid w:val="00036E3D"/>
    <w:rsid w:val="00037209"/>
    <w:rsid w:val="00037415"/>
    <w:rsid w:val="00037938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C3"/>
    <w:rsid w:val="000420E2"/>
    <w:rsid w:val="000420EF"/>
    <w:rsid w:val="00042270"/>
    <w:rsid w:val="00042F0B"/>
    <w:rsid w:val="00042FEC"/>
    <w:rsid w:val="0004314C"/>
    <w:rsid w:val="00043274"/>
    <w:rsid w:val="00043366"/>
    <w:rsid w:val="000434AE"/>
    <w:rsid w:val="000435FA"/>
    <w:rsid w:val="000438D8"/>
    <w:rsid w:val="00043BB2"/>
    <w:rsid w:val="00044236"/>
    <w:rsid w:val="00044CAB"/>
    <w:rsid w:val="00044F75"/>
    <w:rsid w:val="000455DD"/>
    <w:rsid w:val="0004574B"/>
    <w:rsid w:val="00045F31"/>
    <w:rsid w:val="00046514"/>
    <w:rsid w:val="0004687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A53"/>
    <w:rsid w:val="00051FB6"/>
    <w:rsid w:val="00051FC8"/>
    <w:rsid w:val="0005266D"/>
    <w:rsid w:val="00052BBD"/>
    <w:rsid w:val="00053416"/>
    <w:rsid w:val="0005355D"/>
    <w:rsid w:val="00053A13"/>
    <w:rsid w:val="00053E98"/>
    <w:rsid w:val="00053F41"/>
    <w:rsid w:val="000541D9"/>
    <w:rsid w:val="000542D2"/>
    <w:rsid w:val="00054477"/>
    <w:rsid w:val="00054663"/>
    <w:rsid w:val="000547D0"/>
    <w:rsid w:val="000549F6"/>
    <w:rsid w:val="00054CE7"/>
    <w:rsid w:val="00054D5C"/>
    <w:rsid w:val="00054F78"/>
    <w:rsid w:val="000553C1"/>
    <w:rsid w:val="000554A6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93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7F8"/>
    <w:rsid w:val="00080C87"/>
    <w:rsid w:val="000810FC"/>
    <w:rsid w:val="00081A75"/>
    <w:rsid w:val="00081E38"/>
    <w:rsid w:val="00082194"/>
    <w:rsid w:val="00082795"/>
    <w:rsid w:val="00082B62"/>
    <w:rsid w:val="00082C40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8DB"/>
    <w:rsid w:val="000879B6"/>
    <w:rsid w:val="00087C7A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121E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BB7"/>
    <w:rsid w:val="00093FA8"/>
    <w:rsid w:val="00094183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0A92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61B3"/>
    <w:rsid w:val="000A6395"/>
    <w:rsid w:val="000A6704"/>
    <w:rsid w:val="000A6A41"/>
    <w:rsid w:val="000A6BCB"/>
    <w:rsid w:val="000A7310"/>
    <w:rsid w:val="000A746C"/>
    <w:rsid w:val="000A75CC"/>
    <w:rsid w:val="000A78F0"/>
    <w:rsid w:val="000A78F1"/>
    <w:rsid w:val="000A7A37"/>
    <w:rsid w:val="000A7A90"/>
    <w:rsid w:val="000B0C3E"/>
    <w:rsid w:val="000B0CA3"/>
    <w:rsid w:val="000B13F6"/>
    <w:rsid w:val="000B15CC"/>
    <w:rsid w:val="000B19AF"/>
    <w:rsid w:val="000B1CED"/>
    <w:rsid w:val="000B1F10"/>
    <w:rsid w:val="000B2001"/>
    <w:rsid w:val="000B258B"/>
    <w:rsid w:val="000B2890"/>
    <w:rsid w:val="000B30E0"/>
    <w:rsid w:val="000B31A9"/>
    <w:rsid w:val="000B3247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CB4"/>
    <w:rsid w:val="000B5DC5"/>
    <w:rsid w:val="000B5F7F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1E62"/>
    <w:rsid w:val="000C237F"/>
    <w:rsid w:val="000C281F"/>
    <w:rsid w:val="000C28E9"/>
    <w:rsid w:val="000C2912"/>
    <w:rsid w:val="000C2C0B"/>
    <w:rsid w:val="000C2F83"/>
    <w:rsid w:val="000C36CD"/>
    <w:rsid w:val="000C3E5A"/>
    <w:rsid w:val="000C491A"/>
    <w:rsid w:val="000C4A97"/>
    <w:rsid w:val="000C4EC6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7792"/>
    <w:rsid w:val="000C787A"/>
    <w:rsid w:val="000C7893"/>
    <w:rsid w:val="000C7ABE"/>
    <w:rsid w:val="000C7F7D"/>
    <w:rsid w:val="000C7FF7"/>
    <w:rsid w:val="000D0583"/>
    <w:rsid w:val="000D0B47"/>
    <w:rsid w:val="000D0D67"/>
    <w:rsid w:val="000D0DB5"/>
    <w:rsid w:val="000D0DBB"/>
    <w:rsid w:val="000D1005"/>
    <w:rsid w:val="000D1066"/>
    <w:rsid w:val="000D14BB"/>
    <w:rsid w:val="000D15E5"/>
    <w:rsid w:val="000D15E7"/>
    <w:rsid w:val="000D1A8C"/>
    <w:rsid w:val="000D1C84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3DF3"/>
    <w:rsid w:val="000D45C9"/>
    <w:rsid w:val="000D4C6C"/>
    <w:rsid w:val="000D5121"/>
    <w:rsid w:val="000D548B"/>
    <w:rsid w:val="000D5491"/>
    <w:rsid w:val="000D5598"/>
    <w:rsid w:val="000D5D1F"/>
    <w:rsid w:val="000D6073"/>
    <w:rsid w:val="000D6179"/>
    <w:rsid w:val="000D64E5"/>
    <w:rsid w:val="000D68D2"/>
    <w:rsid w:val="000D6901"/>
    <w:rsid w:val="000D7A6F"/>
    <w:rsid w:val="000E077B"/>
    <w:rsid w:val="000E0E6E"/>
    <w:rsid w:val="000E0FC3"/>
    <w:rsid w:val="000E106A"/>
    <w:rsid w:val="000E12A5"/>
    <w:rsid w:val="000E1FE7"/>
    <w:rsid w:val="000E2011"/>
    <w:rsid w:val="000E225E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B8B"/>
    <w:rsid w:val="000F0C05"/>
    <w:rsid w:val="000F1ED2"/>
    <w:rsid w:val="000F286C"/>
    <w:rsid w:val="000F30B1"/>
    <w:rsid w:val="000F33BA"/>
    <w:rsid w:val="000F3B9C"/>
    <w:rsid w:val="000F3C4B"/>
    <w:rsid w:val="000F3DD7"/>
    <w:rsid w:val="000F4031"/>
    <w:rsid w:val="000F446D"/>
    <w:rsid w:val="000F45F4"/>
    <w:rsid w:val="000F4B10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0D1"/>
    <w:rsid w:val="000F73FC"/>
    <w:rsid w:val="000F7723"/>
    <w:rsid w:val="000F774A"/>
    <w:rsid w:val="000F78FB"/>
    <w:rsid w:val="000F7DF8"/>
    <w:rsid w:val="00100015"/>
    <w:rsid w:val="00100182"/>
    <w:rsid w:val="001003A7"/>
    <w:rsid w:val="00100A04"/>
    <w:rsid w:val="00100E13"/>
    <w:rsid w:val="00100F83"/>
    <w:rsid w:val="001013A2"/>
    <w:rsid w:val="0010146D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08C6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3ACF"/>
    <w:rsid w:val="00114AE7"/>
    <w:rsid w:val="00114FC5"/>
    <w:rsid w:val="0011514E"/>
    <w:rsid w:val="00115D0F"/>
    <w:rsid w:val="00115EF4"/>
    <w:rsid w:val="00116294"/>
    <w:rsid w:val="00116DE2"/>
    <w:rsid w:val="00116F51"/>
    <w:rsid w:val="001172AC"/>
    <w:rsid w:val="001175DC"/>
    <w:rsid w:val="00117CB3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78E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30601"/>
    <w:rsid w:val="00130F91"/>
    <w:rsid w:val="00131230"/>
    <w:rsid w:val="0013146E"/>
    <w:rsid w:val="00131657"/>
    <w:rsid w:val="00131790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63E8"/>
    <w:rsid w:val="00136799"/>
    <w:rsid w:val="001369B9"/>
    <w:rsid w:val="00136D19"/>
    <w:rsid w:val="00136F42"/>
    <w:rsid w:val="00137207"/>
    <w:rsid w:val="00137429"/>
    <w:rsid w:val="0013746A"/>
    <w:rsid w:val="00137585"/>
    <w:rsid w:val="0013769D"/>
    <w:rsid w:val="001378C0"/>
    <w:rsid w:val="00137955"/>
    <w:rsid w:val="00137A6C"/>
    <w:rsid w:val="00137C28"/>
    <w:rsid w:val="00137E3F"/>
    <w:rsid w:val="00137EDD"/>
    <w:rsid w:val="00137FC9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B9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6FFC"/>
    <w:rsid w:val="0015729B"/>
    <w:rsid w:val="0015744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AD9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3B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7B0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B47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3EB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39C"/>
    <w:rsid w:val="0019478F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5FDE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374"/>
    <w:rsid w:val="001A1F7C"/>
    <w:rsid w:val="001A234A"/>
    <w:rsid w:val="001A2879"/>
    <w:rsid w:val="001A2DDE"/>
    <w:rsid w:val="001A32DF"/>
    <w:rsid w:val="001A3441"/>
    <w:rsid w:val="001A3BA9"/>
    <w:rsid w:val="001A3BD5"/>
    <w:rsid w:val="001A3E11"/>
    <w:rsid w:val="001A441D"/>
    <w:rsid w:val="001A458D"/>
    <w:rsid w:val="001A4A53"/>
    <w:rsid w:val="001A4C12"/>
    <w:rsid w:val="001A5130"/>
    <w:rsid w:val="001A5682"/>
    <w:rsid w:val="001A5B30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7205"/>
    <w:rsid w:val="001A72FF"/>
    <w:rsid w:val="001A7704"/>
    <w:rsid w:val="001A7D30"/>
    <w:rsid w:val="001B0045"/>
    <w:rsid w:val="001B007D"/>
    <w:rsid w:val="001B0566"/>
    <w:rsid w:val="001B0C6D"/>
    <w:rsid w:val="001B0DE7"/>
    <w:rsid w:val="001B1119"/>
    <w:rsid w:val="001B1158"/>
    <w:rsid w:val="001B15AA"/>
    <w:rsid w:val="001B161F"/>
    <w:rsid w:val="001B191E"/>
    <w:rsid w:val="001B1E39"/>
    <w:rsid w:val="001B2279"/>
    <w:rsid w:val="001B2D7D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34F"/>
    <w:rsid w:val="001B66B2"/>
    <w:rsid w:val="001B67EE"/>
    <w:rsid w:val="001B699C"/>
    <w:rsid w:val="001B6A86"/>
    <w:rsid w:val="001B6D70"/>
    <w:rsid w:val="001B6F18"/>
    <w:rsid w:val="001B709E"/>
    <w:rsid w:val="001B71D3"/>
    <w:rsid w:val="001B79E7"/>
    <w:rsid w:val="001B7A96"/>
    <w:rsid w:val="001B7C13"/>
    <w:rsid w:val="001B7E15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05A"/>
    <w:rsid w:val="001C282D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2E1"/>
    <w:rsid w:val="001C74C2"/>
    <w:rsid w:val="001C7677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85"/>
    <w:rsid w:val="001D1B43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8B"/>
    <w:rsid w:val="001D58B2"/>
    <w:rsid w:val="001D5A21"/>
    <w:rsid w:val="001D5D87"/>
    <w:rsid w:val="001D60BD"/>
    <w:rsid w:val="001D6254"/>
    <w:rsid w:val="001D6469"/>
    <w:rsid w:val="001D64D4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D8D"/>
    <w:rsid w:val="001E315A"/>
    <w:rsid w:val="001E448D"/>
    <w:rsid w:val="001E4B5C"/>
    <w:rsid w:val="001E51B4"/>
    <w:rsid w:val="001E51F8"/>
    <w:rsid w:val="001E5A8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525"/>
    <w:rsid w:val="001F1603"/>
    <w:rsid w:val="001F164F"/>
    <w:rsid w:val="001F16CE"/>
    <w:rsid w:val="001F1943"/>
    <w:rsid w:val="001F1C5E"/>
    <w:rsid w:val="001F1C6F"/>
    <w:rsid w:val="001F29A1"/>
    <w:rsid w:val="001F35D4"/>
    <w:rsid w:val="001F3A85"/>
    <w:rsid w:val="001F40CB"/>
    <w:rsid w:val="001F41EF"/>
    <w:rsid w:val="001F4693"/>
    <w:rsid w:val="001F48EB"/>
    <w:rsid w:val="001F49FA"/>
    <w:rsid w:val="001F4B42"/>
    <w:rsid w:val="001F4CCC"/>
    <w:rsid w:val="001F5187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B12"/>
    <w:rsid w:val="001F7B7F"/>
    <w:rsid w:val="001F7CDB"/>
    <w:rsid w:val="00200A32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978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9FD"/>
    <w:rsid w:val="00205D35"/>
    <w:rsid w:val="00205DD7"/>
    <w:rsid w:val="00205EAC"/>
    <w:rsid w:val="0020645D"/>
    <w:rsid w:val="002064DE"/>
    <w:rsid w:val="00206788"/>
    <w:rsid w:val="00206CFD"/>
    <w:rsid w:val="00206D1F"/>
    <w:rsid w:val="002075B4"/>
    <w:rsid w:val="00210197"/>
    <w:rsid w:val="0021022C"/>
    <w:rsid w:val="00210994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275F"/>
    <w:rsid w:val="0023283D"/>
    <w:rsid w:val="002328BA"/>
    <w:rsid w:val="00232D30"/>
    <w:rsid w:val="00232F2A"/>
    <w:rsid w:val="00233106"/>
    <w:rsid w:val="002333FD"/>
    <w:rsid w:val="002336AA"/>
    <w:rsid w:val="0023399D"/>
    <w:rsid w:val="00234605"/>
    <w:rsid w:val="00234798"/>
    <w:rsid w:val="00235045"/>
    <w:rsid w:val="00235909"/>
    <w:rsid w:val="00236050"/>
    <w:rsid w:val="002361C1"/>
    <w:rsid w:val="002366AF"/>
    <w:rsid w:val="00236D1C"/>
    <w:rsid w:val="00236EC6"/>
    <w:rsid w:val="00236F1D"/>
    <w:rsid w:val="002375AB"/>
    <w:rsid w:val="002377A4"/>
    <w:rsid w:val="00237978"/>
    <w:rsid w:val="002379C6"/>
    <w:rsid w:val="00237C62"/>
    <w:rsid w:val="00237D63"/>
    <w:rsid w:val="00237DAC"/>
    <w:rsid w:val="00237FEC"/>
    <w:rsid w:val="00240534"/>
    <w:rsid w:val="0024071B"/>
    <w:rsid w:val="00240A50"/>
    <w:rsid w:val="002410A5"/>
    <w:rsid w:val="00241AF7"/>
    <w:rsid w:val="002422A8"/>
    <w:rsid w:val="00242310"/>
    <w:rsid w:val="002429D1"/>
    <w:rsid w:val="00242F9E"/>
    <w:rsid w:val="002432D4"/>
    <w:rsid w:val="00243836"/>
    <w:rsid w:val="00243AA0"/>
    <w:rsid w:val="00243C92"/>
    <w:rsid w:val="00244031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364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CE7"/>
    <w:rsid w:val="00253FD5"/>
    <w:rsid w:val="00254026"/>
    <w:rsid w:val="00254079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1D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7F7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CD8"/>
    <w:rsid w:val="00292F27"/>
    <w:rsid w:val="00292F8D"/>
    <w:rsid w:val="002930CB"/>
    <w:rsid w:val="0029311A"/>
    <w:rsid w:val="002938F1"/>
    <w:rsid w:val="00293D4D"/>
    <w:rsid w:val="00294052"/>
    <w:rsid w:val="002941B9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4FC7"/>
    <w:rsid w:val="002A5662"/>
    <w:rsid w:val="002A5724"/>
    <w:rsid w:val="002A5DF6"/>
    <w:rsid w:val="002A6016"/>
    <w:rsid w:val="002A674E"/>
    <w:rsid w:val="002A69F0"/>
    <w:rsid w:val="002A69F3"/>
    <w:rsid w:val="002A6EEF"/>
    <w:rsid w:val="002A70C1"/>
    <w:rsid w:val="002A73A1"/>
    <w:rsid w:val="002A77DB"/>
    <w:rsid w:val="002A7A24"/>
    <w:rsid w:val="002A7B4A"/>
    <w:rsid w:val="002A7B60"/>
    <w:rsid w:val="002B02E4"/>
    <w:rsid w:val="002B0382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2A96"/>
    <w:rsid w:val="002B3207"/>
    <w:rsid w:val="002B39B9"/>
    <w:rsid w:val="002B3AFD"/>
    <w:rsid w:val="002B43F8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1D74"/>
    <w:rsid w:val="002C256C"/>
    <w:rsid w:val="002C2733"/>
    <w:rsid w:val="002C2856"/>
    <w:rsid w:val="002C3084"/>
    <w:rsid w:val="002C3110"/>
    <w:rsid w:val="002C34DF"/>
    <w:rsid w:val="002C35A4"/>
    <w:rsid w:val="002C3F64"/>
    <w:rsid w:val="002C445C"/>
    <w:rsid w:val="002C495D"/>
    <w:rsid w:val="002C4A8F"/>
    <w:rsid w:val="002C4BE1"/>
    <w:rsid w:val="002C5039"/>
    <w:rsid w:val="002C53B3"/>
    <w:rsid w:val="002C55E1"/>
    <w:rsid w:val="002C5944"/>
    <w:rsid w:val="002C5B3F"/>
    <w:rsid w:val="002C5D77"/>
    <w:rsid w:val="002C63B1"/>
    <w:rsid w:val="002C685C"/>
    <w:rsid w:val="002C6C63"/>
    <w:rsid w:val="002C6D33"/>
    <w:rsid w:val="002C7017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BD0"/>
    <w:rsid w:val="002E2BDE"/>
    <w:rsid w:val="002E2DA1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0F1B"/>
    <w:rsid w:val="003016A9"/>
    <w:rsid w:val="00301A09"/>
    <w:rsid w:val="00301B5D"/>
    <w:rsid w:val="003024A4"/>
    <w:rsid w:val="00302612"/>
    <w:rsid w:val="00302668"/>
    <w:rsid w:val="003029DD"/>
    <w:rsid w:val="00302A2C"/>
    <w:rsid w:val="003031E4"/>
    <w:rsid w:val="00303AA1"/>
    <w:rsid w:val="003042E1"/>
    <w:rsid w:val="00304909"/>
    <w:rsid w:val="00304B4E"/>
    <w:rsid w:val="00304E2E"/>
    <w:rsid w:val="00305066"/>
    <w:rsid w:val="003052DD"/>
    <w:rsid w:val="003052E5"/>
    <w:rsid w:val="003053B8"/>
    <w:rsid w:val="00305431"/>
    <w:rsid w:val="00306088"/>
    <w:rsid w:val="00306181"/>
    <w:rsid w:val="0030701D"/>
    <w:rsid w:val="00310239"/>
    <w:rsid w:val="00310660"/>
    <w:rsid w:val="00310745"/>
    <w:rsid w:val="003108B2"/>
    <w:rsid w:val="00310918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3DF9"/>
    <w:rsid w:val="0031429B"/>
    <w:rsid w:val="0031574B"/>
    <w:rsid w:val="00315C83"/>
    <w:rsid w:val="00316133"/>
    <w:rsid w:val="00316301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4A2F"/>
    <w:rsid w:val="00325EE0"/>
    <w:rsid w:val="003262FA"/>
    <w:rsid w:val="00326638"/>
    <w:rsid w:val="003266AE"/>
    <w:rsid w:val="00326E6C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0C5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186"/>
    <w:rsid w:val="003434E0"/>
    <w:rsid w:val="00343E38"/>
    <w:rsid w:val="003440DD"/>
    <w:rsid w:val="003447F8"/>
    <w:rsid w:val="00344878"/>
    <w:rsid w:val="003448F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95"/>
    <w:rsid w:val="003510B4"/>
    <w:rsid w:val="0035134E"/>
    <w:rsid w:val="0035190B"/>
    <w:rsid w:val="00352079"/>
    <w:rsid w:val="003526F6"/>
    <w:rsid w:val="00352D23"/>
    <w:rsid w:val="003530CD"/>
    <w:rsid w:val="00353D5F"/>
    <w:rsid w:val="00353E4B"/>
    <w:rsid w:val="00354156"/>
    <w:rsid w:val="0035420A"/>
    <w:rsid w:val="0035437F"/>
    <w:rsid w:val="0035467A"/>
    <w:rsid w:val="00354CC0"/>
    <w:rsid w:val="00354D5C"/>
    <w:rsid w:val="00354DB1"/>
    <w:rsid w:val="00355251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748"/>
    <w:rsid w:val="00361E6F"/>
    <w:rsid w:val="003626D0"/>
    <w:rsid w:val="00362D92"/>
    <w:rsid w:val="00363095"/>
    <w:rsid w:val="003636D8"/>
    <w:rsid w:val="00363DA7"/>
    <w:rsid w:val="00363DAA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5C8A"/>
    <w:rsid w:val="003660E5"/>
    <w:rsid w:val="00366233"/>
    <w:rsid w:val="00366875"/>
    <w:rsid w:val="00366E00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B5C"/>
    <w:rsid w:val="00372D61"/>
    <w:rsid w:val="00373024"/>
    <w:rsid w:val="0037316B"/>
    <w:rsid w:val="003736A4"/>
    <w:rsid w:val="00373768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5B77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C4B"/>
    <w:rsid w:val="00377E34"/>
    <w:rsid w:val="00377E8F"/>
    <w:rsid w:val="00380356"/>
    <w:rsid w:val="0038051A"/>
    <w:rsid w:val="00380529"/>
    <w:rsid w:val="0038059D"/>
    <w:rsid w:val="003807C5"/>
    <w:rsid w:val="00380877"/>
    <w:rsid w:val="00381291"/>
    <w:rsid w:val="0038129E"/>
    <w:rsid w:val="003812AC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5AF"/>
    <w:rsid w:val="003A19E0"/>
    <w:rsid w:val="003A1A79"/>
    <w:rsid w:val="003A1BBC"/>
    <w:rsid w:val="003A1E7A"/>
    <w:rsid w:val="003A1F45"/>
    <w:rsid w:val="003A21E4"/>
    <w:rsid w:val="003A234C"/>
    <w:rsid w:val="003A257E"/>
    <w:rsid w:val="003A2611"/>
    <w:rsid w:val="003A26DD"/>
    <w:rsid w:val="003A2AF2"/>
    <w:rsid w:val="003A2CA3"/>
    <w:rsid w:val="003A3704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12"/>
    <w:rsid w:val="003A664D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0C0"/>
    <w:rsid w:val="003B1BC1"/>
    <w:rsid w:val="003B1C48"/>
    <w:rsid w:val="003B24E8"/>
    <w:rsid w:val="003B2581"/>
    <w:rsid w:val="003B2638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4B15"/>
    <w:rsid w:val="003B52C6"/>
    <w:rsid w:val="003B5C01"/>
    <w:rsid w:val="003B6156"/>
    <w:rsid w:val="003B6719"/>
    <w:rsid w:val="003B67CA"/>
    <w:rsid w:val="003B6831"/>
    <w:rsid w:val="003B6B55"/>
    <w:rsid w:val="003B718D"/>
    <w:rsid w:val="003B7662"/>
    <w:rsid w:val="003B77C0"/>
    <w:rsid w:val="003B7883"/>
    <w:rsid w:val="003B7C9D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A3E"/>
    <w:rsid w:val="003C4C07"/>
    <w:rsid w:val="003C4D12"/>
    <w:rsid w:val="003C4FDE"/>
    <w:rsid w:val="003C50F2"/>
    <w:rsid w:val="003C5160"/>
    <w:rsid w:val="003C546F"/>
    <w:rsid w:val="003C5641"/>
    <w:rsid w:val="003C5685"/>
    <w:rsid w:val="003C59C5"/>
    <w:rsid w:val="003C5E10"/>
    <w:rsid w:val="003C643B"/>
    <w:rsid w:val="003C6E1E"/>
    <w:rsid w:val="003C7414"/>
    <w:rsid w:val="003C76FF"/>
    <w:rsid w:val="003C77B4"/>
    <w:rsid w:val="003C78AB"/>
    <w:rsid w:val="003C7AAB"/>
    <w:rsid w:val="003C7F30"/>
    <w:rsid w:val="003C7FC8"/>
    <w:rsid w:val="003D01D4"/>
    <w:rsid w:val="003D0342"/>
    <w:rsid w:val="003D1285"/>
    <w:rsid w:val="003D160B"/>
    <w:rsid w:val="003D16D5"/>
    <w:rsid w:val="003D1972"/>
    <w:rsid w:val="003D1C00"/>
    <w:rsid w:val="003D1CF9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607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6CF"/>
    <w:rsid w:val="003E240E"/>
    <w:rsid w:val="003E2A1C"/>
    <w:rsid w:val="003E2CC9"/>
    <w:rsid w:val="003E2FE8"/>
    <w:rsid w:val="003E3BCB"/>
    <w:rsid w:val="003E3EE6"/>
    <w:rsid w:val="003E3F1D"/>
    <w:rsid w:val="003E3FB4"/>
    <w:rsid w:val="003E46C9"/>
    <w:rsid w:val="003E4EF7"/>
    <w:rsid w:val="003E5698"/>
    <w:rsid w:val="003E56CB"/>
    <w:rsid w:val="003E57E5"/>
    <w:rsid w:val="003E591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68F"/>
    <w:rsid w:val="003F3AA2"/>
    <w:rsid w:val="003F3EF7"/>
    <w:rsid w:val="003F40E7"/>
    <w:rsid w:val="003F419B"/>
    <w:rsid w:val="003F5147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642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B24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BE9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17CFA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23C"/>
    <w:rsid w:val="00423A1D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EAE"/>
    <w:rsid w:val="00425FC7"/>
    <w:rsid w:val="00426061"/>
    <w:rsid w:val="0042652F"/>
    <w:rsid w:val="00426E73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8D"/>
    <w:rsid w:val="004307D8"/>
    <w:rsid w:val="0043130E"/>
    <w:rsid w:val="00431DA7"/>
    <w:rsid w:val="00431E87"/>
    <w:rsid w:val="00431EAA"/>
    <w:rsid w:val="00431F99"/>
    <w:rsid w:val="004323E3"/>
    <w:rsid w:val="00432474"/>
    <w:rsid w:val="00432727"/>
    <w:rsid w:val="00432731"/>
    <w:rsid w:val="00432963"/>
    <w:rsid w:val="00432B19"/>
    <w:rsid w:val="00432C90"/>
    <w:rsid w:val="00433066"/>
    <w:rsid w:val="00433487"/>
    <w:rsid w:val="00433567"/>
    <w:rsid w:val="00433AC0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9AE"/>
    <w:rsid w:val="00447FDC"/>
    <w:rsid w:val="00450457"/>
    <w:rsid w:val="0045055E"/>
    <w:rsid w:val="00450AD9"/>
    <w:rsid w:val="00450E7D"/>
    <w:rsid w:val="004511BC"/>
    <w:rsid w:val="00451230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06"/>
    <w:rsid w:val="00456DD3"/>
    <w:rsid w:val="00456E82"/>
    <w:rsid w:val="00456ED0"/>
    <w:rsid w:val="00457222"/>
    <w:rsid w:val="0045737C"/>
    <w:rsid w:val="0045785B"/>
    <w:rsid w:val="004578E9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5F"/>
    <w:rsid w:val="00465CB5"/>
    <w:rsid w:val="0046634F"/>
    <w:rsid w:val="0046660C"/>
    <w:rsid w:val="0046663F"/>
    <w:rsid w:val="00467231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3501"/>
    <w:rsid w:val="00474487"/>
    <w:rsid w:val="00474500"/>
    <w:rsid w:val="00474A1A"/>
    <w:rsid w:val="00475239"/>
    <w:rsid w:val="0047597C"/>
    <w:rsid w:val="00475FA7"/>
    <w:rsid w:val="00476019"/>
    <w:rsid w:val="004761CE"/>
    <w:rsid w:val="00476DF4"/>
    <w:rsid w:val="004774DD"/>
    <w:rsid w:val="00477685"/>
    <w:rsid w:val="0047788D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630"/>
    <w:rsid w:val="00485F5B"/>
    <w:rsid w:val="00486470"/>
    <w:rsid w:val="004868C6"/>
    <w:rsid w:val="00486ADA"/>
    <w:rsid w:val="00486B03"/>
    <w:rsid w:val="00486C3C"/>
    <w:rsid w:val="0048722F"/>
    <w:rsid w:val="004872E6"/>
    <w:rsid w:val="00487375"/>
    <w:rsid w:val="0048763F"/>
    <w:rsid w:val="00487658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902"/>
    <w:rsid w:val="00492A56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66C"/>
    <w:rsid w:val="004967F5"/>
    <w:rsid w:val="00496A2B"/>
    <w:rsid w:val="00496AEA"/>
    <w:rsid w:val="00496E85"/>
    <w:rsid w:val="00496E94"/>
    <w:rsid w:val="004971D7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146F"/>
    <w:rsid w:val="004A20B5"/>
    <w:rsid w:val="004A240D"/>
    <w:rsid w:val="004A2528"/>
    <w:rsid w:val="004A28D2"/>
    <w:rsid w:val="004A2D0F"/>
    <w:rsid w:val="004A2D14"/>
    <w:rsid w:val="004A2E99"/>
    <w:rsid w:val="004A31F0"/>
    <w:rsid w:val="004A3201"/>
    <w:rsid w:val="004A36B9"/>
    <w:rsid w:val="004A36F3"/>
    <w:rsid w:val="004A3966"/>
    <w:rsid w:val="004A490F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299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1FA0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0A7"/>
    <w:rsid w:val="004B4422"/>
    <w:rsid w:val="004B46B3"/>
    <w:rsid w:val="004B46F8"/>
    <w:rsid w:val="004B49CC"/>
    <w:rsid w:val="004B54F2"/>
    <w:rsid w:val="004B54FE"/>
    <w:rsid w:val="004B56B8"/>
    <w:rsid w:val="004B5708"/>
    <w:rsid w:val="004B5879"/>
    <w:rsid w:val="004B5965"/>
    <w:rsid w:val="004B6121"/>
    <w:rsid w:val="004B6270"/>
    <w:rsid w:val="004B63FA"/>
    <w:rsid w:val="004B645A"/>
    <w:rsid w:val="004B6882"/>
    <w:rsid w:val="004B6CAA"/>
    <w:rsid w:val="004B7133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D3A"/>
    <w:rsid w:val="004C280C"/>
    <w:rsid w:val="004C2F90"/>
    <w:rsid w:val="004C32F1"/>
    <w:rsid w:val="004C3E44"/>
    <w:rsid w:val="004C43A1"/>
    <w:rsid w:val="004C59DD"/>
    <w:rsid w:val="004C5FD5"/>
    <w:rsid w:val="004C5FE1"/>
    <w:rsid w:val="004C72D5"/>
    <w:rsid w:val="004C7A18"/>
    <w:rsid w:val="004C7CEB"/>
    <w:rsid w:val="004D01F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9A5"/>
    <w:rsid w:val="004E2B1F"/>
    <w:rsid w:val="004E2B6F"/>
    <w:rsid w:val="004E2B78"/>
    <w:rsid w:val="004E2D7F"/>
    <w:rsid w:val="004E2E5F"/>
    <w:rsid w:val="004E2F22"/>
    <w:rsid w:val="004E34D5"/>
    <w:rsid w:val="004E3552"/>
    <w:rsid w:val="004E3591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9CB"/>
    <w:rsid w:val="004E7B6C"/>
    <w:rsid w:val="004E7E5D"/>
    <w:rsid w:val="004E7E67"/>
    <w:rsid w:val="004F0611"/>
    <w:rsid w:val="004F06A7"/>
    <w:rsid w:val="004F0A57"/>
    <w:rsid w:val="004F0E29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54AE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083"/>
    <w:rsid w:val="004F759D"/>
    <w:rsid w:val="004F777D"/>
    <w:rsid w:val="004F7946"/>
    <w:rsid w:val="004F7A0D"/>
    <w:rsid w:val="004F7D41"/>
    <w:rsid w:val="0050062F"/>
    <w:rsid w:val="0050069E"/>
    <w:rsid w:val="005009CC"/>
    <w:rsid w:val="00500CD2"/>
    <w:rsid w:val="00500D0C"/>
    <w:rsid w:val="00500F2D"/>
    <w:rsid w:val="00501067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597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078D7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5E3"/>
    <w:rsid w:val="00514AA1"/>
    <w:rsid w:val="00514D7D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74"/>
    <w:rsid w:val="0052038B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C0C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E7D"/>
    <w:rsid w:val="00542089"/>
    <w:rsid w:val="005429D0"/>
    <w:rsid w:val="00542A28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7C8"/>
    <w:rsid w:val="005459CD"/>
    <w:rsid w:val="0054635D"/>
    <w:rsid w:val="00546403"/>
    <w:rsid w:val="005467C1"/>
    <w:rsid w:val="005468D0"/>
    <w:rsid w:val="00546A42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3B2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671"/>
    <w:rsid w:val="0056290E"/>
    <w:rsid w:val="00562E79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A54"/>
    <w:rsid w:val="00571DFA"/>
    <w:rsid w:val="005723C8"/>
    <w:rsid w:val="00572621"/>
    <w:rsid w:val="005726C2"/>
    <w:rsid w:val="00572B2E"/>
    <w:rsid w:val="0057308F"/>
    <w:rsid w:val="00573166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B3C"/>
    <w:rsid w:val="00575EDD"/>
    <w:rsid w:val="00576B4C"/>
    <w:rsid w:val="00576BB4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D56"/>
    <w:rsid w:val="00581F4E"/>
    <w:rsid w:val="00582287"/>
    <w:rsid w:val="0058270D"/>
    <w:rsid w:val="00582CA9"/>
    <w:rsid w:val="00582D10"/>
    <w:rsid w:val="00582D5C"/>
    <w:rsid w:val="005830BF"/>
    <w:rsid w:val="005831A5"/>
    <w:rsid w:val="0058343F"/>
    <w:rsid w:val="005835D7"/>
    <w:rsid w:val="00583A2B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626"/>
    <w:rsid w:val="00587B32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9C"/>
    <w:rsid w:val="00591BE4"/>
    <w:rsid w:val="00591DCD"/>
    <w:rsid w:val="00592355"/>
    <w:rsid w:val="00592850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43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1C4"/>
    <w:rsid w:val="0059771B"/>
    <w:rsid w:val="005977D1"/>
    <w:rsid w:val="00597A03"/>
    <w:rsid w:val="00597C35"/>
    <w:rsid w:val="00597D72"/>
    <w:rsid w:val="00597E2F"/>
    <w:rsid w:val="005A0312"/>
    <w:rsid w:val="005A0509"/>
    <w:rsid w:val="005A0A8A"/>
    <w:rsid w:val="005A0F9E"/>
    <w:rsid w:val="005A0FA6"/>
    <w:rsid w:val="005A18D2"/>
    <w:rsid w:val="005A1C38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935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4F8"/>
    <w:rsid w:val="005B4984"/>
    <w:rsid w:val="005B4B79"/>
    <w:rsid w:val="005B4CD5"/>
    <w:rsid w:val="005B5DA6"/>
    <w:rsid w:val="005B5F15"/>
    <w:rsid w:val="005B6652"/>
    <w:rsid w:val="005B6AC0"/>
    <w:rsid w:val="005B6CB5"/>
    <w:rsid w:val="005B6D4C"/>
    <w:rsid w:val="005B7356"/>
    <w:rsid w:val="005B7698"/>
    <w:rsid w:val="005B7849"/>
    <w:rsid w:val="005B7918"/>
    <w:rsid w:val="005B7A4D"/>
    <w:rsid w:val="005B7ACA"/>
    <w:rsid w:val="005B7CEE"/>
    <w:rsid w:val="005B7E1D"/>
    <w:rsid w:val="005C006F"/>
    <w:rsid w:val="005C0258"/>
    <w:rsid w:val="005C060E"/>
    <w:rsid w:val="005C06FA"/>
    <w:rsid w:val="005C0721"/>
    <w:rsid w:val="005C0D18"/>
    <w:rsid w:val="005C0F15"/>
    <w:rsid w:val="005C1671"/>
    <w:rsid w:val="005C1691"/>
    <w:rsid w:val="005C2090"/>
    <w:rsid w:val="005C2345"/>
    <w:rsid w:val="005C27ED"/>
    <w:rsid w:val="005C28EF"/>
    <w:rsid w:val="005C34BC"/>
    <w:rsid w:val="005C354F"/>
    <w:rsid w:val="005C3B89"/>
    <w:rsid w:val="005C3D46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6E32"/>
    <w:rsid w:val="005C7639"/>
    <w:rsid w:val="005C7A19"/>
    <w:rsid w:val="005C7D79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A2B"/>
    <w:rsid w:val="005F2BCD"/>
    <w:rsid w:val="005F2DF5"/>
    <w:rsid w:val="005F2EA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54"/>
    <w:rsid w:val="00601B16"/>
    <w:rsid w:val="006023B8"/>
    <w:rsid w:val="00602908"/>
    <w:rsid w:val="0060295D"/>
    <w:rsid w:val="00602D33"/>
    <w:rsid w:val="00602F7C"/>
    <w:rsid w:val="0060343A"/>
    <w:rsid w:val="006034E0"/>
    <w:rsid w:val="00603507"/>
    <w:rsid w:val="00603B9B"/>
    <w:rsid w:val="00603CB6"/>
    <w:rsid w:val="00603DA3"/>
    <w:rsid w:val="00604032"/>
    <w:rsid w:val="006042B5"/>
    <w:rsid w:val="006046AE"/>
    <w:rsid w:val="00604A63"/>
    <w:rsid w:val="00604A82"/>
    <w:rsid w:val="00604C50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3B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40A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E75"/>
    <w:rsid w:val="00626FBA"/>
    <w:rsid w:val="006279C2"/>
    <w:rsid w:val="00627ED2"/>
    <w:rsid w:val="00630889"/>
    <w:rsid w:val="00630E87"/>
    <w:rsid w:val="00630FBC"/>
    <w:rsid w:val="00630FEF"/>
    <w:rsid w:val="00631D05"/>
    <w:rsid w:val="006324AD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7DA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660C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679"/>
    <w:rsid w:val="00641C74"/>
    <w:rsid w:val="00641CB3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1DAA"/>
    <w:rsid w:val="00652251"/>
    <w:rsid w:val="00652306"/>
    <w:rsid w:val="00652778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F51"/>
    <w:rsid w:val="00657214"/>
    <w:rsid w:val="00657283"/>
    <w:rsid w:val="006572C8"/>
    <w:rsid w:val="0065748C"/>
    <w:rsid w:val="006574B0"/>
    <w:rsid w:val="00657B67"/>
    <w:rsid w:val="00657EB6"/>
    <w:rsid w:val="006601EC"/>
    <w:rsid w:val="006601F3"/>
    <w:rsid w:val="00660EFD"/>
    <w:rsid w:val="00661137"/>
    <w:rsid w:val="00661276"/>
    <w:rsid w:val="0066224B"/>
    <w:rsid w:val="006622C8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7BC"/>
    <w:rsid w:val="00670C99"/>
    <w:rsid w:val="00670DC2"/>
    <w:rsid w:val="00671BE7"/>
    <w:rsid w:val="00671F9A"/>
    <w:rsid w:val="00672342"/>
    <w:rsid w:val="00672D62"/>
    <w:rsid w:val="00673A41"/>
    <w:rsid w:val="00673B4C"/>
    <w:rsid w:val="00673F30"/>
    <w:rsid w:val="0067457C"/>
    <w:rsid w:val="00674653"/>
    <w:rsid w:val="0067474B"/>
    <w:rsid w:val="006748C1"/>
    <w:rsid w:val="00674AA4"/>
    <w:rsid w:val="00674B49"/>
    <w:rsid w:val="0067510A"/>
    <w:rsid w:val="00675119"/>
    <w:rsid w:val="00675D19"/>
    <w:rsid w:val="00675E72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49F"/>
    <w:rsid w:val="00677575"/>
    <w:rsid w:val="006776AB"/>
    <w:rsid w:val="00677B2A"/>
    <w:rsid w:val="0068030E"/>
    <w:rsid w:val="006807CA"/>
    <w:rsid w:val="00680A6F"/>
    <w:rsid w:val="00680ACB"/>
    <w:rsid w:val="00680DFD"/>
    <w:rsid w:val="00681D0B"/>
    <w:rsid w:val="00681E3F"/>
    <w:rsid w:val="00682056"/>
    <w:rsid w:val="006825F5"/>
    <w:rsid w:val="00682997"/>
    <w:rsid w:val="00682AC0"/>
    <w:rsid w:val="00682E79"/>
    <w:rsid w:val="00683382"/>
    <w:rsid w:val="0068342F"/>
    <w:rsid w:val="00683ABF"/>
    <w:rsid w:val="00683B33"/>
    <w:rsid w:val="00683DE9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2FD"/>
    <w:rsid w:val="006905FC"/>
    <w:rsid w:val="006907EA"/>
    <w:rsid w:val="006909A9"/>
    <w:rsid w:val="00690EEE"/>
    <w:rsid w:val="00692547"/>
    <w:rsid w:val="00693517"/>
    <w:rsid w:val="006935B5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E20"/>
    <w:rsid w:val="006A3683"/>
    <w:rsid w:val="006A3753"/>
    <w:rsid w:val="006A3942"/>
    <w:rsid w:val="006A428F"/>
    <w:rsid w:val="006A4370"/>
    <w:rsid w:val="006A47D0"/>
    <w:rsid w:val="006A4876"/>
    <w:rsid w:val="006A4972"/>
    <w:rsid w:val="006A4EE1"/>
    <w:rsid w:val="006A58EE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3BF4"/>
    <w:rsid w:val="006B3C1E"/>
    <w:rsid w:val="006B45DF"/>
    <w:rsid w:val="006B4753"/>
    <w:rsid w:val="006B5014"/>
    <w:rsid w:val="006B55BD"/>
    <w:rsid w:val="006B55BE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AED"/>
    <w:rsid w:val="006D028F"/>
    <w:rsid w:val="006D066F"/>
    <w:rsid w:val="006D09F2"/>
    <w:rsid w:val="006D0A3B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ECE"/>
    <w:rsid w:val="006D6297"/>
    <w:rsid w:val="006D630D"/>
    <w:rsid w:val="006D6490"/>
    <w:rsid w:val="006D64C6"/>
    <w:rsid w:val="006D6526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E81"/>
    <w:rsid w:val="006D7FB3"/>
    <w:rsid w:val="006E0304"/>
    <w:rsid w:val="006E0858"/>
    <w:rsid w:val="006E09D8"/>
    <w:rsid w:val="006E0F28"/>
    <w:rsid w:val="006E101A"/>
    <w:rsid w:val="006E1E5B"/>
    <w:rsid w:val="006E1FEE"/>
    <w:rsid w:val="006E2672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B6A"/>
    <w:rsid w:val="006E4D45"/>
    <w:rsid w:val="006E4D55"/>
    <w:rsid w:val="006E58CC"/>
    <w:rsid w:val="006E5B2F"/>
    <w:rsid w:val="006E5E27"/>
    <w:rsid w:val="006E6270"/>
    <w:rsid w:val="006E681A"/>
    <w:rsid w:val="006E6998"/>
    <w:rsid w:val="006E6B82"/>
    <w:rsid w:val="006E70D3"/>
    <w:rsid w:val="006E70F5"/>
    <w:rsid w:val="006E75BC"/>
    <w:rsid w:val="006E7AEA"/>
    <w:rsid w:val="006F0384"/>
    <w:rsid w:val="006F0B82"/>
    <w:rsid w:val="006F0CF5"/>
    <w:rsid w:val="006F0D99"/>
    <w:rsid w:val="006F11F2"/>
    <w:rsid w:val="006F1ACD"/>
    <w:rsid w:val="006F216A"/>
    <w:rsid w:val="006F2224"/>
    <w:rsid w:val="006F2602"/>
    <w:rsid w:val="006F292D"/>
    <w:rsid w:val="006F2A44"/>
    <w:rsid w:val="006F30F9"/>
    <w:rsid w:val="006F32F6"/>
    <w:rsid w:val="006F3792"/>
    <w:rsid w:val="006F3A31"/>
    <w:rsid w:val="006F3B15"/>
    <w:rsid w:val="006F3B7B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740C"/>
    <w:rsid w:val="006F75F5"/>
    <w:rsid w:val="006F77AB"/>
    <w:rsid w:val="006F78E7"/>
    <w:rsid w:val="006F79C2"/>
    <w:rsid w:val="007000FC"/>
    <w:rsid w:val="0070017E"/>
    <w:rsid w:val="00701D07"/>
    <w:rsid w:val="00702420"/>
    <w:rsid w:val="007024F6"/>
    <w:rsid w:val="0070294B"/>
    <w:rsid w:val="0070294D"/>
    <w:rsid w:val="00703176"/>
    <w:rsid w:val="0070347B"/>
    <w:rsid w:val="0070380D"/>
    <w:rsid w:val="00703A33"/>
    <w:rsid w:val="00703E32"/>
    <w:rsid w:val="00703FC3"/>
    <w:rsid w:val="00704017"/>
    <w:rsid w:val="007040D6"/>
    <w:rsid w:val="00704254"/>
    <w:rsid w:val="007043C4"/>
    <w:rsid w:val="007044F3"/>
    <w:rsid w:val="007049CA"/>
    <w:rsid w:val="00705496"/>
    <w:rsid w:val="00705B0E"/>
    <w:rsid w:val="00705D77"/>
    <w:rsid w:val="00705FC8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0FB7"/>
    <w:rsid w:val="007112AB"/>
    <w:rsid w:val="007113BE"/>
    <w:rsid w:val="00711563"/>
    <w:rsid w:val="00711A57"/>
    <w:rsid w:val="00711EC3"/>
    <w:rsid w:val="00712441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5FF6"/>
    <w:rsid w:val="007163C5"/>
    <w:rsid w:val="0071640F"/>
    <w:rsid w:val="0071686E"/>
    <w:rsid w:val="00716BC4"/>
    <w:rsid w:val="007173E8"/>
    <w:rsid w:val="0071760B"/>
    <w:rsid w:val="00717620"/>
    <w:rsid w:val="007177CA"/>
    <w:rsid w:val="00717A60"/>
    <w:rsid w:val="00717B2D"/>
    <w:rsid w:val="00717CAB"/>
    <w:rsid w:val="00717D9C"/>
    <w:rsid w:val="00717F0D"/>
    <w:rsid w:val="007202DC"/>
    <w:rsid w:val="00720C79"/>
    <w:rsid w:val="0072110D"/>
    <w:rsid w:val="00721CB6"/>
    <w:rsid w:val="00722222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4EA"/>
    <w:rsid w:val="007248B6"/>
    <w:rsid w:val="007248CF"/>
    <w:rsid w:val="00724D59"/>
    <w:rsid w:val="00724F28"/>
    <w:rsid w:val="0072536F"/>
    <w:rsid w:val="007253DD"/>
    <w:rsid w:val="007258EC"/>
    <w:rsid w:val="00725E60"/>
    <w:rsid w:val="00726C39"/>
    <w:rsid w:val="00726E91"/>
    <w:rsid w:val="0072720E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606"/>
    <w:rsid w:val="007377D1"/>
    <w:rsid w:val="00737AFA"/>
    <w:rsid w:val="00737CDB"/>
    <w:rsid w:val="00740216"/>
    <w:rsid w:val="0074043B"/>
    <w:rsid w:val="007405FC"/>
    <w:rsid w:val="007408C0"/>
    <w:rsid w:val="00740950"/>
    <w:rsid w:val="00740A2E"/>
    <w:rsid w:val="00741199"/>
    <w:rsid w:val="007413FA"/>
    <w:rsid w:val="007418AF"/>
    <w:rsid w:val="00741AB8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D10"/>
    <w:rsid w:val="00743E63"/>
    <w:rsid w:val="00743EEE"/>
    <w:rsid w:val="007440AF"/>
    <w:rsid w:val="007440B4"/>
    <w:rsid w:val="00744752"/>
    <w:rsid w:val="00744DCF"/>
    <w:rsid w:val="007450BE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2B1"/>
    <w:rsid w:val="007475B6"/>
    <w:rsid w:val="00747A4F"/>
    <w:rsid w:val="00747DE1"/>
    <w:rsid w:val="00750541"/>
    <w:rsid w:val="007506FD"/>
    <w:rsid w:val="00750779"/>
    <w:rsid w:val="00750A04"/>
    <w:rsid w:val="00750A48"/>
    <w:rsid w:val="00750BA5"/>
    <w:rsid w:val="00750C88"/>
    <w:rsid w:val="00751662"/>
    <w:rsid w:val="007519D0"/>
    <w:rsid w:val="00751DA4"/>
    <w:rsid w:val="00752047"/>
    <w:rsid w:val="0075209A"/>
    <w:rsid w:val="0075249A"/>
    <w:rsid w:val="007527D1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0BD"/>
    <w:rsid w:val="0075665E"/>
    <w:rsid w:val="00756A15"/>
    <w:rsid w:val="00756CFA"/>
    <w:rsid w:val="00756DFA"/>
    <w:rsid w:val="00756F06"/>
    <w:rsid w:val="007604EC"/>
    <w:rsid w:val="007605C7"/>
    <w:rsid w:val="00760C07"/>
    <w:rsid w:val="007610E2"/>
    <w:rsid w:val="00761177"/>
    <w:rsid w:val="007612F1"/>
    <w:rsid w:val="00761773"/>
    <w:rsid w:val="00761CA2"/>
    <w:rsid w:val="00761CF0"/>
    <w:rsid w:val="00761EB6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1"/>
    <w:rsid w:val="00764628"/>
    <w:rsid w:val="00764CCC"/>
    <w:rsid w:val="00765129"/>
    <w:rsid w:val="007652E9"/>
    <w:rsid w:val="00765393"/>
    <w:rsid w:val="00765490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244F"/>
    <w:rsid w:val="007724FF"/>
    <w:rsid w:val="00772912"/>
    <w:rsid w:val="00772E50"/>
    <w:rsid w:val="00773184"/>
    <w:rsid w:val="007735AE"/>
    <w:rsid w:val="00773659"/>
    <w:rsid w:val="007736E3"/>
    <w:rsid w:val="00773739"/>
    <w:rsid w:val="007739A7"/>
    <w:rsid w:val="00773B5F"/>
    <w:rsid w:val="00773FD5"/>
    <w:rsid w:val="00774098"/>
    <w:rsid w:val="007747B2"/>
    <w:rsid w:val="00774A87"/>
    <w:rsid w:val="0077514C"/>
    <w:rsid w:val="007753D4"/>
    <w:rsid w:val="00775473"/>
    <w:rsid w:val="00775920"/>
    <w:rsid w:val="00775AA5"/>
    <w:rsid w:val="00775C66"/>
    <w:rsid w:val="00775C95"/>
    <w:rsid w:val="00775FE5"/>
    <w:rsid w:val="007760C0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FEB"/>
    <w:rsid w:val="007822C6"/>
    <w:rsid w:val="007826C5"/>
    <w:rsid w:val="00782D9F"/>
    <w:rsid w:val="00782F6D"/>
    <w:rsid w:val="00782FA8"/>
    <w:rsid w:val="0078349D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D91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7F4"/>
    <w:rsid w:val="007A08E6"/>
    <w:rsid w:val="007A1551"/>
    <w:rsid w:val="007A1A14"/>
    <w:rsid w:val="007A1DB3"/>
    <w:rsid w:val="007A2171"/>
    <w:rsid w:val="007A227E"/>
    <w:rsid w:val="007A24DC"/>
    <w:rsid w:val="007A2641"/>
    <w:rsid w:val="007A2699"/>
    <w:rsid w:val="007A28C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53E"/>
    <w:rsid w:val="007A58A4"/>
    <w:rsid w:val="007A626A"/>
    <w:rsid w:val="007A6543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0FB8"/>
    <w:rsid w:val="007C12D5"/>
    <w:rsid w:val="007C131E"/>
    <w:rsid w:val="007C14AA"/>
    <w:rsid w:val="007C1812"/>
    <w:rsid w:val="007C1837"/>
    <w:rsid w:val="007C1A60"/>
    <w:rsid w:val="007C1CE8"/>
    <w:rsid w:val="007C1D63"/>
    <w:rsid w:val="007C2242"/>
    <w:rsid w:val="007C2375"/>
    <w:rsid w:val="007C2945"/>
    <w:rsid w:val="007C31C0"/>
    <w:rsid w:val="007C3AFF"/>
    <w:rsid w:val="007C4C04"/>
    <w:rsid w:val="007C4F7C"/>
    <w:rsid w:val="007C4FAE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C7B29"/>
    <w:rsid w:val="007D0250"/>
    <w:rsid w:val="007D02B8"/>
    <w:rsid w:val="007D0B17"/>
    <w:rsid w:val="007D13CF"/>
    <w:rsid w:val="007D15FA"/>
    <w:rsid w:val="007D1629"/>
    <w:rsid w:val="007D1A80"/>
    <w:rsid w:val="007D1E6A"/>
    <w:rsid w:val="007D1F51"/>
    <w:rsid w:val="007D1FBC"/>
    <w:rsid w:val="007D2625"/>
    <w:rsid w:val="007D271B"/>
    <w:rsid w:val="007D2D17"/>
    <w:rsid w:val="007D2F77"/>
    <w:rsid w:val="007D3368"/>
    <w:rsid w:val="007D3537"/>
    <w:rsid w:val="007D3893"/>
    <w:rsid w:val="007D3A0A"/>
    <w:rsid w:val="007D3A1E"/>
    <w:rsid w:val="007D4065"/>
    <w:rsid w:val="007D41B5"/>
    <w:rsid w:val="007D435B"/>
    <w:rsid w:val="007D4586"/>
    <w:rsid w:val="007D4708"/>
    <w:rsid w:val="007D4B05"/>
    <w:rsid w:val="007D4ED1"/>
    <w:rsid w:val="007D51E6"/>
    <w:rsid w:val="007D56D4"/>
    <w:rsid w:val="007D5944"/>
    <w:rsid w:val="007D59A4"/>
    <w:rsid w:val="007D5B08"/>
    <w:rsid w:val="007D5D49"/>
    <w:rsid w:val="007D5ECD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4E3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924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E7E21"/>
    <w:rsid w:val="007F02A7"/>
    <w:rsid w:val="007F0748"/>
    <w:rsid w:val="007F0F9F"/>
    <w:rsid w:val="007F11C7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BB5"/>
    <w:rsid w:val="007F5EE4"/>
    <w:rsid w:val="007F6198"/>
    <w:rsid w:val="007F6B45"/>
    <w:rsid w:val="007F79E5"/>
    <w:rsid w:val="007F7C20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BEC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2BC8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90B"/>
    <w:rsid w:val="00816AC0"/>
    <w:rsid w:val="00816BD5"/>
    <w:rsid w:val="00816F47"/>
    <w:rsid w:val="008170F3"/>
    <w:rsid w:val="008172F0"/>
    <w:rsid w:val="008172F4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188E"/>
    <w:rsid w:val="00822627"/>
    <w:rsid w:val="00822670"/>
    <w:rsid w:val="00822707"/>
    <w:rsid w:val="00822710"/>
    <w:rsid w:val="00822938"/>
    <w:rsid w:val="00822BF6"/>
    <w:rsid w:val="00822D82"/>
    <w:rsid w:val="00822DBB"/>
    <w:rsid w:val="00822E0C"/>
    <w:rsid w:val="00823718"/>
    <w:rsid w:val="00823950"/>
    <w:rsid w:val="00823999"/>
    <w:rsid w:val="00823D17"/>
    <w:rsid w:val="008245AD"/>
    <w:rsid w:val="00824663"/>
    <w:rsid w:val="0082481E"/>
    <w:rsid w:val="00824B7F"/>
    <w:rsid w:val="008251AC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27EF0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3DB"/>
    <w:rsid w:val="008435B4"/>
    <w:rsid w:val="008449B8"/>
    <w:rsid w:val="00844B86"/>
    <w:rsid w:val="00844D05"/>
    <w:rsid w:val="00845016"/>
    <w:rsid w:val="00845090"/>
    <w:rsid w:val="008459FA"/>
    <w:rsid w:val="00845C47"/>
    <w:rsid w:val="00845DDC"/>
    <w:rsid w:val="008461C4"/>
    <w:rsid w:val="0084648F"/>
    <w:rsid w:val="00846C8A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3ED8"/>
    <w:rsid w:val="0085479D"/>
    <w:rsid w:val="0085496B"/>
    <w:rsid w:val="00854CC2"/>
    <w:rsid w:val="00854D13"/>
    <w:rsid w:val="00854FAF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18D"/>
    <w:rsid w:val="00857387"/>
    <w:rsid w:val="00857459"/>
    <w:rsid w:val="00857789"/>
    <w:rsid w:val="008605CA"/>
    <w:rsid w:val="00860A6A"/>
    <w:rsid w:val="00860B25"/>
    <w:rsid w:val="008610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2BE5"/>
    <w:rsid w:val="00862BF3"/>
    <w:rsid w:val="00863387"/>
    <w:rsid w:val="00863AB7"/>
    <w:rsid w:val="00863CDC"/>
    <w:rsid w:val="008641C9"/>
    <w:rsid w:val="00864901"/>
    <w:rsid w:val="00864AA0"/>
    <w:rsid w:val="00865016"/>
    <w:rsid w:val="0086525B"/>
    <w:rsid w:val="008655F0"/>
    <w:rsid w:val="00865732"/>
    <w:rsid w:val="00865C75"/>
    <w:rsid w:val="008661EE"/>
    <w:rsid w:val="008663EF"/>
    <w:rsid w:val="00866CBF"/>
    <w:rsid w:val="008671F3"/>
    <w:rsid w:val="0086783D"/>
    <w:rsid w:val="00867934"/>
    <w:rsid w:val="00867C33"/>
    <w:rsid w:val="00867F80"/>
    <w:rsid w:val="00870193"/>
    <w:rsid w:val="00870AA3"/>
    <w:rsid w:val="00870B0F"/>
    <w:rsid w:val="00870C9B"/>
    <w:rsid w:val="00871550"/>
    <w:rsid w:val="00871613"/>
    <w:rsid w:val="00871C7A"/>
    <w:rsid w:val="008720D8"/>
    <w:rsid w:val="0087220B"/>
    <w:rsid w:val="00872788"/>
    <w:rsid w:val="00872A5B"/>
    <w:rsid w:val="008737A5"/>
    <w:rsid w:val="00873990"/>
    <w:rsid w:val="00873BDA"/>
    <w:rsid w:val="00873E48"/>
    <w:rsid w:val="0087422F"/>
    <w:rsid w:val="00874858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F2"/>
    <w:rsid w:val="00881343"/>
    <w:rsid w:val="008820C5"/>
    <w:rsid w:val="008824E3"/>
    <w:rsid w:val="00883129"/>
    <w:rsid w:val="008844A7"/>
    <w:rsid w:val="00884E04"/>
    <w:rsid w:val="0088506C"/>
    <w:rsid w:val="008850B4"/>
    <w:rsid w:val="00885105"/>
    <w:rsid w:val="0088549A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01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CD0"/>
    <w:rsid w:val="00897CD2"/>
    <w:rsid w:val="00897E21"/>
    <w:rsid w:val="00897F44"/>
    <w:rsid w:val="008A0233"/>
    <w:rsid w:val="008A064D"/>
    <w:rsid w:val="008A179F"/>
    <w:rsid w:val="008A1A34"/>
    <w:rsid w:val="008A1E4F"/>
    <w:rsid w:val="008A2D43"/>
    <w:rsid w:val="008A2E74"/>
    <w:rsid w:val="008A3436"/>
    <w:rsid w:val="008A3707"/>
    <w:rsid w:val="008A3C8D"/>
    <w:rsid w:val="008A3D96"/>
    <w:rsid w:val="008A3EBB"/>
    <w:rsid w:val="008A46E2"/>
    <w:rsid w:val="008A479B"/>
    <w:rsid w:val="008A4821"/>
    <w:rsid w:val="008A4964"/>
    <w:rsid w:val="008A4E8F"/>
    <w:rsid w:val="008A5429"/>
    <w:rsid w:val="008A54E6"/>
    <w:rsid w:val="008A5FDE"/>
    <w:rsid w:val="008A6018"/>
    <w:rsid w:val="008A6578"/>
    <w:rsid w:val="008A6D94"/>
    <w:rsid w:val="008A6F2D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2F72"/>
    <w:rsid w:val="008B328D"/>
    <w:rsid w:val="008B354A"/>
    <w:rsid w:val="008B371C"/>
    <w:rsid w:val="008B372F"/>
    <w:rsid w:val="008B38B9"/>
    <w:rsid w:val="008B3CCC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B7E15"/>
    <w:rsid w:val="008C0623"/>
    <w:rsid w:val="008C06B5"/>
    <w:rsid w:val="008C07A2"/>
    <w:rsid w:val="008C0B24"/>
    <w:rsid w:val="008C0BF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5F34"/>
    <w:rsid w:val="008C63C7"/>
    <w:rsid w:val="008C7006"/>
    <w:rsid w:val="008C739F"/>
    <w:rsid w:val="008C73DA"/>
    <w:rsid w:val="008C7749"/>
    <w:rsid w:val="008C7B9A"/>
    <w:rsid w:val="008C7C72"/>
    <w:rsid w:val="008C7FAB"/>
    <w:rsid w:val="008C7FB3"/>
    <w:rsid w:val="008D010D"/>
    <w:rsid w:val="008D01B3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835"/>
    <w:rsid w:val="008D7A7D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D13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4F4"/>
    <w:rsid w:val="008F2522"/>
    <w:rsid w:val="008F2A0D"/>
    <w:rsid w:val="008F2BAE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75C0"/>
    <w:rsid w:val="008F7600"/>
    <w:rsid w:val="008F780E"/>
    <w:rsid w:val="008F7E59"/>
    <w:rsid w:val="00900265"/>
    <w:rsid w:val="0090067F"/>
    <w:rsid w:val="009006D1"/>
    <w:rsid w:val="009007D4"/>
    <w:rsid w:val="00900E96"/>
    <w:rsid w:val="00900F3E"/>
    <w:rsid w:val="00901023"/>
    <w:rsid w:val="0090110D"/>
    <w:rsid w:val="00902436"/>
    <w:rsid w:val="009024EE"/>
    <w:rsid w:val="0090271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4EC5"/>
    <w:rsid w:val="00905522"/>
    <w:rsid w:val="009058D8"/>
    <w:rsid w:val="00905921"/>
    <w:rsid w:val="00905AA5"/>
    <w:rsid w:val="00905B82"/>
    <w:rsid w:val="00905CE5"/>
    <w:rsid w:val="009061A8"/>
    <w:rsid w:val="00906880"/>
    <w:rsid w:val="00906939"/>
    <w:rsid w:val="00906C8D"/>
    <w:rsid w:val="00906D49"/>
    <w:rsid w:val="0090741A"/>
    <w:rsid w:val="00907C65"/>
    <w:rsid w:val="00910012"/>
    <w:rsid w:val="009111C2"/>
    <w:rsid w:val="00911AB6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183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21CB"/>
    <w:rsid w:val="00922350"/>
    <w:rsid w:val="0092288D"/>
    <w:rsid w:val="00922D0D"/>
    <w:rsid w:val="00922D9C"/>
    <w:rsid w:val="00924626"/>
    <w:rsid w:val="00924643"/>
    <w:rsid w:val="00924797"/>
    <w:rsid w:val="00924D24"/>
    <w:rsid w:val="009255EA"/>
    <w:rsid w:val="00925690"/>
    <w:rsid w:val="00925B85"/>
    <w:rsid w:val="00925DA9"/>
    <w:rsid w:val="00925F42"/>
    <w:rsid w:val="0092618B"/>
    <w:rsid w:val="0092635C"/>
    <w:rsid w:val="00926ECA"/>
    <w:rsid w:val="00927001"/>
    <w:rsid w:val="00927025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DE8"/>
    <w:rsid w:val="00931F9F"/>
    <w:rsid w:val="0093225F"/>
    <w:rsid w:val="0093281E"/>
    <w:rsid w:val="00932868"/>
    <w:rsid w:val="00932CC9"/>
    <w:rsid w:val="00932E8B"/>
    <w:rsid w:val="0093356B"/>
    <w:rsid w:val="0093391C"/>
    <w:rsid w:val="00933CD6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9E"/>
    <w:rsid w:val="009403B9"/>
    <w:rsid w:val="0094045C"/>
    <w:rsid w:val="009404DE"/>
    <w:rsid w:val="0094090E"/>
    <w:rsid w:val="00940D61"/>
    <w:rsid w:val="00941470"/>
    <w:rsid w:val="00941710"/>
    <w:rsid w:val="00941951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B6F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8A1"/>
    <w:rsid w:val="00951B6D"/>
    <w:rsid w:val="00952500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D6C"/>
    <w:rsid w:val="00963E31"/>
    <w:rsid w:val="00964460"/>
    <w:rsid w:val="00964547"/>
    <w:rsid w:val="009646E8"/>
    <w:rsid w:val="00964E58"/>
    <w:rsid w:val="00965169"/>
    <w:rsid w:val="00965260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171"/>
    <w:rsid w:val="00970434"/>
    <w:rsid w:val="0097051C"/>
    <w:rsid w:val="00970608"/>
    <w:rsid w:val="00970A92"/>
    <w:rsid w:val="0097129A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A03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78D"/>
    <w:rsid w:val="009807B8"/>
    <w:rsid w:val="0098091B"/>
    <w:rsid w:val="009809BD"/>
    <w:rsid w:val="009809F0"/>
    <w:rsid w:val="00981403"/>
    <w:rsid w:val="009817B9"/>
    <w:rsid w:val="009818EB"/>
    <w:rsid w:val="009822B4"/>
    <w:rsid w:val="00982373"/>
    <w:rsid w:val="009825D9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DFE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B58"/>
    <w:rsid w:val="00992D14"/>
    <w:rsid w:val="00992E82"/>
    <w:rsid w:val="00992EE2"/>
    <w:rsid w:val="00993B8E"/>
    <w:rsid w:val="009941F9"/>
    <w:rsid w:val="00994507"/>
    <w:rsid w:val="009945AF"/>
    <w:rsid w:val="00995458"/>
    <w:rsid w:val="009954D4"/>
    <w:rsid w:val="0099550D"/>
    <w:rsid w:val="009957E8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107D"/>
    <w:rsid w:val="009A113A"/>
    <w:rsid w:val="009A11A3"/>
    <w:rsid w:val="009A1649"/>
    <w:rsid w:val="009A17FD"/>
    <w:rsid w:val="009A1BDE"/>
    <w:rsid w:val="009A22CE"/>
    <w:rsid w:val="009A23CA"/>
    <w:rsid w:val="009A260A"/>
    <w:rsid w:val="009A27E6"/>
    <w:rsid w:val="009A3036"/>
    <w:rsid w:val="009A30B3"/>
    <w:rsid w:val="009A3B9E"/>
    <w:rsid w:val="009A3EAD"/>
    <w:rsid w:val="009A3EDC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4E5"/>
    <w:rsid w:val="009A6819"/>
    <w:rsid w:val="009A6A96"/>
    <w:rsid w:val="009A77A4"/>
    <w:rsid w:val="009A7B87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378"/>
    <w:rsid w:val="009B27EE"/>
    <w:rsid w:val="009B2D47"/>
    <w:rsid w:val="009B30EF"/>
    <w:rsid w:val="009B3177"/>
    <w:rsid w:val="009B3BC1"/>
    <w:rsid w:val="009B3BE8"/>
    <w:rsid w:val="009B3D61"/>
    <w:rsid w:val="009B4B5D"/>
    <w:rsid w:val="009B4B8A"/>
    <w:rsid w:val="009B4F8A"/>
    <w:rsid w:val="009B4FD0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3CEA"/>
    <w:rsid w:val="009C4549"/>
    <w:rsid w:val="009C46E4"/>
    <w:rsid w:val="009C47CF"/>
    <w:rsid w:val="009C4CB7"/>
    <w:rsid w:val="009C4D19"/>
    <w:rsid w:val="009C4E70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D05D3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9F9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6FED"/>
    <w:rsid w:val="009D7208"/>
    <w:rsid w:val="009D7217"/>
    <w:rsid w:val="009D741A"/>
    <w:rsid w:val="009D7527"/>
    <w:rsid w:val="009D7A7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68F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638"/>
    <w:rsid w:val="00A05B42"/>
    <w:rsid w:val="00A05B8C"/>
    <w:rsid w:val="00A05C76"/>
    <w:rsid w:val="00A05EF7"/>
    <w:rsid w:val="00A05FA6"/>
    <w:rsid w:val="00A06015"/>
    <w:rsid w:val="00A063AC"/>
    <w:rsid w:val="00A0728E"/>
    <w:rsid w:val="00A0734E"/>
    <w:rsid w:val="00A0743A"/>
    <w:rsid w:val="00A07853"/>
    <w:rsid w:val="00A07ACF"/>
    <w:rsid w:val="00A07B53"/>
    <w:rsid w:val="00A07E12"/>
    <w:rsid w:val="00A07FB7"/>
    <w:rsid w:val="00A1007B"/>
    <w:rsid w:val="00A1022D"/>
    <w:rsid w:val="00A1076E"/>
    <w:rsid w:val="00A107C9"/>
    <w:rsid w:val="00A10852"/>
    <w:rsid w:val="00A11023"/>
    <w:rsid w:val="00A113CE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5571"/>
    <w:rsid w:val="00A156C2"/>
    <w:rsid w:val="00A15A06"/>
    <w:rsid w:val="00A15F60"/>
    <w:rsid w:val="00A1659D"/>
    <w:rsid w:val="00A165A1"/>
    <w:rsid w:val="00A16893"/>
    <w:rsid w:val="00A16C39"/>
    <w:rsid w:val="00A16E25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657"/>
    <w:rsid w:val="00A2185D"/>
    <w:rsid w:val="00A21CE6"/>
    <w:rsid w:val="00A22166"/>
    <w:rsid w:val="00A22AC9"/>
    <w:rsid w:val="00A236B9"/>
    <w:rsid w:val="00A23B1B"/>
    <w:rsid w:val="00A23E99"/>
    <w:rsid w:val="00A24B5C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84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0E5D"/>
    <w:rsid w:val="00A31272"/>
    <w:rsid w:val="00A314D8"/>
    <w:rsid w:val="00A31760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86D"/>
    <w:rsid w:val="00A409B5"/>
    <w:rsid w:val="00A40A52"/>
    <w:rsid w:val="00A40B3B"/>
    <w:rsid w:val="00A40B8A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76B"/>
    <w:rsid w:val="00A44EFC"/>
    <w:rsid w:val="00A450A3"/>
    <w:rsid w:val="00A453F8"/>
    <w:rsid w:val="00A45561"/>
    <w:rsid w:val="00A456E4"/>
    <w:rsid w:val="00A4590D"/>
    <w:rsid w:val="00A45BE1"/>
    <w:rsid w:val="00A4651B"/>
    <w:rsid w:val="00A46B39"/>
    <w:rsid w:val="00A46C4A"/>
    <w:rsid w:val="00A47468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3C6"/>
    <w:rsid w:val="00A54406"/>
    <w:rsid w:val="00A54A1B"/>
    <w:rsid w:val="00A5529A"/>
    <w:rsid w:val="00A558B5"/>
    <w:rsid w:val="00A558FA"/>
    <w:rsid w:val="00A5645C"/>
    <w:rsid w:val="00A56525"/>
    <w:rsid w:val="00A566EC"/>
    <w:rsid w:val="00A56709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CB1"/>
    <w:rsid w:val="00A61F1C"/>
    <w:rsid w:val="00A6214D"/>
    <w:rsid w:val="00A6260E"/>
    <w:rsid w:val="00A62653"/>
    <w:rsid w:val="00A62B8B"/>
    <w:rsid w:val="00A62E7D"/>
    <w:rsid w:val="00A63917"/>
    <w:rsid w:val="00A63CBC"/>
    <w:rsid w:val="00A6437B"/>
    <w:rsid w:val="00A646E2"/>
    <w:rsid w:val="00A64DB6"/>
    <w:rsid w:val="00A64FE8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705C5"/>
    <w:rsid w:val="00A7063D"/>
    <w:rsid w:val="00A70773"/>
    <w:rsid w:val="00A70C8A"/>
    <w:rsid w:val="00A70C93"/>
    <w:rsid w:val="00A70D36"/>
    <w:rsid w:val="00A70E63"/>
    <w:rsid w:val="00A70F2C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7D"/>
    <w:rsid w:val="00A74B93"/>
    <w:rsid w:val="00A74EC7"/>
    <w:rsid w:val="00A7505D"/>
    <w:rsid w:val="00A75370"/>
    <w:rsid w:val="00A756E4"/>
    <w:rsid w:val="00A75D5F"/>
    <w:rsid w:val="00A76202"/>
    <w:rsid w:val="00A7646F"/>
    <w:rsid w:val="00A76E13"/>
    <w:rsid w:val="00A76E82"/>
    <w:rsid w:val="00A76F4F"/>
    <w:rsid w:val="00A77C16"/>
    <w:rsid w:val="00A77E98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381F"/>
    <w:rsid w:val="00A843FE"/>
    <w:rsid w:val="00A84688"/>
    <w:rsid w:val="00A849DA"/>
    <w:rsid w:val="00A85676"/>
    <w:rsid w:val="00A868D3"/>
    <w:rsid w:val="00A86B8D"/>
    <w:rsid w:val="00A871EA"/>
    <w:rsid w:val="00A8738D"/>
    <w:rsid w:val="00A87552"/>
    <w:rsid w:val="00A8771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3BC0"/>
    <w:rsid w:val="00A93C59"/>
    <w:rsid w:val="00A94E2C"/>
    <w:rsid w:val="00A95212"/>
    <w:rsid w:val="00A955BD"/>
    <w:rsid w:val="00A95637"/>
    <w:rsid w:val="00A95799"/>
    <w:rsid w:val="00A95CFD"/>
    <w:rsid w:val="00A96757"/>
    <w:rsid w:val="00A968B6"/>
    <w:rsid w:val="00A96B96"/>
    <w:rsid w:val="00A96C60"/>
    <w:rsid w:val="00A9730A"/>
    <w:rsid w:val="00A973E1"/>
    <w:rsid w:val="00A97689"/>
    <w:rsid w:val="00A9794E"/>
    <w:rsid w:val="00A97A34"/>
    <w:rsid w:val="00A97DEC"/>
    <w:rsid w:val="00AA0784"/>
    <w:rsid w:val="00AA114E"/>
    <w:rsid w:val="00AA1880"/>
    <w:rsid w:val="00AA19A4"/>
    <w:rsid w:val="00AA1C51"/>
    <w:rsid w:val="00AA1E16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68A"/>
    <w:rsid w:val="00AA4850"/>
    <w:rsid w:val="00AA4B87"/>
    <w:rsid w:val="00AA4C48"/>
    <w:rsid w:val="00AA4F3F"/>
    <w:rsid w:val="00AA50B1"/>
    <w:rsid w:val="00AA5278"/>
    <w:rsid w:val="00AA53EF"/>
    <w:rsid w:val="00AA5526"/>
    <w:rsid w:val="00AA5568"/>
    <w:rsid w:val="00AA55B0"/>
    <w:rsid w:val="00AA5E9C"/>
    <w:rsid w:val="00AA6229"/>
    <w:rsid w:val="00AA69A0"/>
    <w:rsid w:val="00AA6AAB"/>
    <w:rsid w:val="00AA6E9A"/>
    <w:rsid w:val="00AA71AF"/>
    <w:rsid w:val="00AA77A3"/>
    <w:rsid w:val="00AA79E9"/>
    <w:rsid w:val="00AA7F08"/>
    <w:rsid w:val="00AB015C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ECB"/>
    <w:rsid w:val="00AB5622"/>
    <w:rsid w:val="00AB576F"/>
    <w:rsid w:val="00AB7096"/>
    <w:rsid w:val="00AB76B2"/>
    <w:rsid w:val="00AB76C6"/>
    <w:rsid w:val="00AB7CA1"/>
    <w:rsid w:val="00AC0085"/>
    <w:rsid w:val="00AC00C3"/>
    <w:rsid w:val="00AC0140"/>
    <w:rsid w:val="00AC06A9"/>
    <w:rsid w:val="00AC07BB"/>
    <w:rsid w:val="00AC0862"/>
    <w:rsid w:val="00AC0C45"/>
    <w:rsid w:val="00AC0C81"/>
    <w:rsid w:val="00AC0EF2"/>
    <w:rsid w:val="00AC18B8"/>
    <w:rsid w:val="00AC1B2D"/>
    <w:rsid w:val="00AC1BF5"/>
    <w:rsid w:val="00AC1ED3"/>
    <w:rsid w:val="00AC2161"/>
    <w:rsid w:val="00AC2333"/>
    <w:rsid w:val="00AC24A4"/>
    <w:rsid w:val="00AC2622"/>
    <w:rsid w:val="00AC2657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4E6D"/>
    <w:rsid w:val="00AC5033"/>
    <w:rsid w:val="00AC532D"/>
    <w:rsid w:val="00AC5A67"/>
    <w:rsid w:val="00AC5E5C"/>
    <w:rsid w:val="00AC5EA6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050"/>
    <w:rsid w:val="00AD07FB"/>
    <w:rsid w:val="00AD0BD2"/>
    <w:rsid w:val="00AD0E55"/>
    <w:rsid w:val="00AD1834"/>
    <w:rsid w:val="00AD1D87"/>
    <w:rsid w:val="00AD2224"/>
    <w:rsid w:val="00AD25F2"/>
    <w:rsid w:val="00AD26A7"/>
    <w:rsid w:val="00AD2A03"/>
    <w:rsid w:val="00AD314B"/>
    <w:rsid w:val="00AD32C0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5D4F"/>
    <w:rsid w:val="00AD6173"/>
    <w:rsid w:val="00AD618B"/>
    <w:rsid w:val="00AD6411"/>
    <w:rsid w:val="00AD651C"/>
    <w:rsid w:val="00AD67B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3A0"/>
    <w:rsid w:val="00AF0553"/>
    <w:rsid w:val="00AF0931"/>
    <w:rsid w:val="00AF09B1"/>
    <w:rsid w:val="00AF0D45"/>
    <w:rsid w:val="00AF110E"/>
    <w:rsid w:val="00AF1529"/>
    <w:rsid w:val="00AF174D"/>
    <w:rsid w:val="00AF1978"/>
    <w:rsid w:val="00AF1A2B"/>
    <w:rsid w:val="00AF1BDA"/>
    <w:rsid w:val="00AF1ED6"/>
    <w:rsid w:val="00AF2185"/>
    <w:rsid w:val="00AF21A9"/>
    <w:rsid w:val="00AF22E5"/>
    <w:rsid w:val="00AF26C5"/>
    <w:rsid w:val="00AF2CC6"/>
    <w:rsid w:val="00AF309E"/>
    <w:rsid w:val="00AF32CA"/>
    <w:rsid w:val="00AF3308"/>
    <w:rsid w:val="00AF35BC"/>
    <w:rsid w:val="00AF3736"/>
    <w:rsid w:val="00AF3BBA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43D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5CB"/>
    <w:rsid w:val="00B06660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CD3"/>
    <w:rsid w:val="00B10EB3"/>
    <w:rsid w:val="00B1138B"/>
    <w:rsid w:val="00B11D18"/>
    <w:rsid w:val="00B12152"/>
    <w:rsid w:val="00B12450"/>
    <w:rsid w:val="00B1278A"/>
    <w:rsid w:val="00B12AE1"/>
    <w:rsid w:val="00B133FF"/>
    <w:rsid w:val="00B13ABA"/>
    <w:rsid w:val="00B13D43"/>
    <w:rsid w:val="00B13D5F"/>
    <w:rsid w:val="00B14051"/>
    <w:rsid w:val="00B14175"/>
    <w:rsid w:val="00B1428D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E12"/>
    <w:rsid w:val="00B22001"/>
    <w:rsid w:val="00B23360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77F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7C7"/>
    <w:rsid w:val="00B36B1B"/>
    <w:rsid w:val="00B36D12"/>
    <w:rsid w:val="00B36D95"/>
    <w:rsid w:val="00B37008"/>
    <w:rsid w:val="00B37121"/>
    <w:rsid w:val="00B37167"/>
    <w:rsid w:val="00B377B6"/>
    <w:rsid w:val="00B37D1E"/>
    <w:rsid w:val="00B37DC7"/>
    <w:rsid w:val="00B37FE7"/>
    <w:rsid w:val="00B4006D"/>
    <w:rsid w:val="00B4008E"/>
    <w:rsid w:val="00B400EB"/>
    <w:rsid w:val="00B40691"/>
    <w:rsid w:val="00B40C3A"/>
    <w:rsid w:val="00B40F68"/>
    <w:rsid w:val="00B4106D"/>
    <w:rsid w:val="00B414BB"/>
    <w:rsid w:val="00B416B7"/>
    <w:rsid w:val="00B41B58"/>
    <w:rsid w:val="00B425F8"/>
    <w:rsid w:val="00B427A5"/>
    <w:rsid w:val="00B427EE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51F"/>
    <w:rsid w:val="00B455F8"/>
    <w:rsid w:val="00B45E66"/>
    <w:rsid w:val="00B45E80"/>
    <w:rsid w:val="00B45FDB"/>
    <w:rsid w:val="00B464BF"/>
    <w:rsid w:val="00B467E4"/>
    <w:rsid w:val="00B46C5F"/>
    <w:rsid w:val="00B4746C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326"/>
    <w:rsid w:val="00B52691"/>
    <w:rsid w:val="00B52E0B"/>
    <w:rsid w:val="00B530E5"/>
    <w:rsid w:val="00B53318"/>
    <w:rsid w:val="00B535AD"/>
    <w:rsid w:val="00B53661"/>
    <w:rsid w:val="00B53A69"/>
    <w:rsid w:val="00B53AE6"/>
    <w:rsid w:val="00B53BE7"/>
    <w:rsid w:val="00B5424F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517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2AC"/>
    <w:rsid w:val="00B6379D"/>
    <w:rsid w:val="00B6383E"/>
    <w:rsid w:val="00B6390F"/>
    <w:rsid w:val="00B6397D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D95"/>
    <w:rsid w:val="00B70E1A"/>
    <w:rsid w:val="00B70FEA"/>
    <w:rsid w:val="00B711D0"/>
    <w:rsid w:val="00B71237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06C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6B6E"/>
    <w:rsid w:val="00B87907"/>
    <w:rsid w:val="00B87D36"/>
    <w:rsid w:val="00B87DA0"/>
    <w:rsid w:val="00B87E84"/>
    <w:rsid w:val="00B902AA"/>
    <w:rsid w:val="00B9039C"/>
    <w:rsid w:val="00B9065E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32"/>
    <w:rsid w:val="00B95038"/>
    <w:rsid w:val="00B9529A"/>
    <w:rsid w:val="00B95431"/>
    <w:rsid w:val="00B95437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885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5F6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6A4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4B1"/>
    <w:rsid w:val="00BC47AC"/>
    <w:rsid w:val="00BC4A45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2218"/>
    <w:rsid w:val="00BD2286"/>
    <w:rsid w:val="00BD23D7"/>
    <w:rsid w:val="00BD2945"/>
    <w:rsid w:val="00BD2E6E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E0E"/>
    <w:rsid w:val="00BD67F9"/>
    <w:rsid w:val="00BD69F6"/>
    <w:rsid w:val="00BD6CB7"/>
    <w:rsid w:val="00BD6CF4"/>
    <w:rsid w:val="00BD72D6"/>
    <w:rsid w:val="00BD746F"/>
    <w:rsid w:val="00BD76BC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537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AA2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0DB0"/>
    <w:rsid w:val="00C015C4"/>
    <w:rsid w:val="00C01891"/>
    <w:rsid w:val="00C01AA2"/>
    <w:rsid w:val="00C01C03"/>
    <w:rsid w:val="00C01C78"/>
    <w:rsid w:val="00C01DE6"/>
    <w:rsid w:val="00C023F2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0F8"/>
    <w:rsid w:val="00C055B9"/>
    <w:rsid w:val="00C05A73"/>
    <w:rsid w:val="00C05C2A"/>
    <w:rsid w:val="00C05C8D"/>
    <w:rsid w:val="00C0614A"/>
    <w:rsid w:val="00C06253"/>
    <w:rsid w:val="00C064C1"/>
    <w:rsid w:val="00C06BDA"/>
    <w:rsid w:val="00C07148"/>
    <w:rsid w:val="00C07BEE"/>
    <w:rsid w:val="00C1019A"/>
    <w:rsid w:val="00C10314"/>
    <w:rsid w:val="00C105BC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6087"/>
    <w:rsid w:val="00C1613E"/>
    <w:rsid w:val="00C164D5"/>
    <w:rsid w:val="00C1665B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B4B"/>
    <w:rsid w:val="00C20C82"/>
    <w:rsid w:val="00C20D6D"/>
    <w:rsid w:val="00C20F6C"/>
    <w:rsid w:val="00C20FBB"/>
    <w:rsid w:val="00C21083"/>
    <w:rsid w:val="00C211B5"/>
    <w:rsid w:val="00C21978"/>
    <w:rsid w:val="00C221AB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C1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1E68"/>
    <w:rsid w:val="00C32101"/>
    <w:rsid w:val="00C32320"/>
    <w:rsid w:val="00C3269E"/>
    <w:rsid w:val="00C32B40"/>
    <w:rsid w:val="00C33001"/>
    <w:rsid w:val="00C33066"/>
    <w:rsid w:val="00C3367C"/>
    <w:rsid w:val="00C33AE3"/>
    <w:rsid w:val="00C3426F"/>
    <w:rsid w:val="00C34A68"/>
    <w:rsid w:val="00C34AD7"/>
    <w:rsid w:val="00C34B73"/>
    <w:rsid w:val="00C34CC5"/>
    <w:rsid w:val="00C35096"/>
    <w:rsid w:val="00C350DD"/>
    <w:rsid w:val="00C352E3"/>
    <w:rsid w:val="00C3536F"/>
    <w:rsid w:val="00C35738"/>
    <w:rsid w:val="00C35778"/>
    <w:rsid w:val="00C3579A"/>
    <w:rsid w:val="00C35B2D"/>
    <w:rsid w:val="00C35BE7"/>
    <w:rsid w:val="00C35C90"/>
    <w:rsid w:val="00C35E7E"/>
    <w:rsid w:val="00C3611E"/>
    <w:rsid w:val="00C366E3"/>
    <w:rsid w:val="00C368BB"/>
    <w:rsid w:val="00C369EA"/>
    <w:rsid w:val="00C36C57"/>
    <w:rsid w:val="00C3716E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9F0"/>
    <w:rsid w:val="00C42D67"/>
    <w:rsid w:val="00C42FFD"/>
    <w:rsid w:val="00C43026"/>
    <w:rsid w:val="00C433AD"/>
    <w:rsid w:val="00C436AE"/>
    <w:rsid w:val="00C43F3B"/>
    <w:rsid w:val="00C44397"/>
    <w:rsid w:val="00C44834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76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073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ADE"/>
    <w:rsid w:val="00C52B9D"/>
    <w:rsid w:val="00C52BF1"/>
    <w:rsid w:val="00C52D40"/>
    <w:rsid w:val="00C53244"/>
    <w:rsid w:val="00C53818"/>
    <w:rsid w:val="00C538F9"/>
    <w:rsid w:val="00C53EA3"/>
    <w:rsid w:val="00C5458C"/>
    <w:rsid w:val="00C54AEB"/>
    <w:rsid w:val="00C54CA2"/>
    <w:rsid w:val="00C54E18"/>
    <w:rsid w:val="00C55015"/>
    <w:rsid w:val="00C550C2"/>
    <w:rsid w:val="00C553D2"/>
    <w:rsid w:val="00C5576C"/>
    <w:rsid w:val="00C55902"/>
    <w:rsid w:val="00C55BAA"/>
    <w:rsid w:val="00C55C91"/>
    <w:rsid w:val="00C55CFE"/>
    <w:rsid w:val="00C55EE3"/>
    <w:rsid w:val="00C56101"/>
    <w:rsid w:val="00C5615F"/>
    <w:rsid w:val="00C56262"/>
    <w:rsid w:val="00C562AD"/>
    <w:rsid w:val="00C5663F"/>
    <w:rsid w:val="00C56867"/>
    <w:rsid w:val="00C5691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4BF7"/>
    <w:rsid w:val="00C65192"/>
    <w:rsid w:val="00C652B7"/>
    <w:rsid w:val="00C65502"/>
    <w:rsid w:val="00C6550F"/>
    <w:rsid w:val="00C65779"/>
    <w:rsid w:val="00C658ED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2E1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00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239"/>
    <w:rsid w:val="00C842CB"/>
    <w:rsid w:val="00C84682"/>
    <w:rsid w:val="00C84772"/>
    <w:rsid w:val="00C8491B"/>
    <w:rsid w:val="00C84ACE"/>
    <w:rsid w:val="00C84BF6"/>
    <w:rsid w:val="00C8530B"/>
    <w:rsid w:val="00C853A5"/>
    <w:rsid w:val="00C85501"/>
    <w:rsid w:val="00C856F1"/>
    <w:rsid w:val="00C859BF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9A7"/>
    <w:rsid w:val="00C87A32"/>
    <w:rsid w:val="00C87BB2"/>
    <w:rsid w:val="00C87ED3"/>
    <w:rsid w:val="00C901DD"/>
    <w:rsid w:val="00C90A43"/>
    <w:rsid w:val="00C90CFB"/>
    <w:rsid w:val="00C90DA5"/>
    <w:rsid w:val="00C91110"/>
    <w:rsid w:val="00C9151F"/>
    <w:rsid w:val="00C917CB"/>
    <w:rsid w:val="00C917F1"/>
    <w:rsid w:val="00C91833"/>
    <w:rsid w:val="00C91ACE"/>
    <w:rsid w:val="00C931E9"/>
    <w:rsid w:val="00C932F5"/>
    <w:rsid w:val="00C9345E"/>
    <w:rsid w:val="00C93632"/>
    <w:rsid w:val="00C93A4D"/>
    <w:rsid w:val="00C93A74"/>
    <w:rsid w:val="00C93E1E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DD7"/>
    <w:rsid w:val="00C96E5E"/>
    <w:rsid w:val="00C96EF9"/>
    <w:rsid w:val="00C97110"/>
    <w:rsid w:val="00C97314"/>
    <w:rsid w:val="00C97680"/>
    <w:rsid w:val="00C97685"/>
    <w:rsid w:val="00C9784F"/>
    <w:rsid w:val="00C97887"/>
    <w:rsid w:val="00C97C9D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D59"/>
    <w:rsid w:val="00CA75A4"/>
    <w:rsid w:val="00CA7BC4"/>
    <w:rsid w:val="00CB02AF"/>
    <w:rsid w:val="00CB04F7"/>
    <w:rsid w:val="00CB05C1"/>
    <w:rsid w:val="00CB06B2"/>
    <w:rsid w:val="00CB0F99"/>
    <w:rsid w:val="00CB122F"/>
    <w:rsid w:val="00CB20A6"/>
    <w:rsid w:val="00CB2135"/>
    <w:rsid w:val="00CB2315"/>
    <w:rsid w:val="00CB245D"/>
    <w:rsid w:val="00CB2795"/>
    <w:rsid w:val="00CB2846"/>
    <w:rsid w:val="00CB3081"/>
    <w:rsid w:val="00CB3876"/>
    <w:rsid w:val="00CB3B6E"/>
    <w:rsid w:val="00CB3C91"/>
    <w:rsid w:val="00CB3D79"/>
    <w:rsid w:val="00CB43A3"/>
    <w:rsid w:val="00CB470D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67A"/>
    <w:rsid w:val="00CC179C"/>
    <w:rsid w:val="00CC184E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2FC2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107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1DCE"/>
    <w:rsid w:val="00CD1E4D"/>
    <w:rsid w:val="00CD21C5"/>
    <w:rsid w:val="00CD2425"/>
    <w:rsid w:val="00CD296B"/>
    <w:rsid w:val="00CD2E3A"/>
    <w:rsid w:val="00CD2F71"/>
    <w:rsid w:val="00CD30A8"/>
    <w:rsid w:val="00CD345C"/>
    <w:rsid w:val="00CD3A7B"/>
    <w:rsid w:val="00CD3BE9"/>
    <w:rsid w:val="00CD3C9C"/>
    <w:rsid w:val="00CD3D53"/>
    <w:rsid w:val="00CD4071"/>
    <w:rsid w:val="00CD4595"/>
    <w:rsid w:val="00CD49C9"/>
    <w:rsid w:val="00CD4C89"/>
    <w:rsid w:val="00CD5019"/>
    <w:rsid w:val="00CD54FF"/>
    <w:rsid w:val="00CD5953"/>
    <w:rsid w:val="00CD5BE7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73F"/>
    <w:rsid w:val="00CE2860"/>
    <w:rsid w:val="00CE2A6E"/>
    <w:rsid w:val="00CE2A6F"/>
    <w:rsid w:val="00CE2B69"/>
    <w:rsid w:val="00CE2FCF"/>
    <w:rsid w:val="00CE31B8"/>
    <w:rsid w:val="00CE3444"/>
    <w:rsid w:val="00CE36C8"/>
    <w:rsid w:val="00CE38E5"/>
    <w:rsid w:val="00CE3963"/>
    <w:rsid w:val="00CE3D87"/>
    <w:rsid w:val="00CE420F"/>
    <w:rsid w:val="00CE4E1F"/>
    <w:rsid w:val="00CE4F74"/>
    <w:rsid w:val="00CE50C1"/>
    <w:rsid w:val="00CE5145"/>
    <w:rsid w:val="00CE557F"/>
    <w:rsid w:val="00CE5B50"/>
    <w:rsid w:val="00CE5D71"/>
    <w:rsid w:val="00CE6A27"/>
    <w:rsid w:val="00CE6AC7"/>
    <w:rsid w:val="00CE77AE"/>
    <w:rsid w:val="00CE78C2"/>
    <w:rsid w:val="00CE790C"/>
    <w:rsid w:val="00CE7B2A"/>
    <w:rsid w:val="00CE7D0A"/>
    <w:rsid w:val="00CF0168"/>
    <w:rsid w:val="00CF02B9"/>
    <w:rsid w:val="00CF0542"/>
    <w:rsid w:val="00CF08A6"/>
    <w:rsid w:val="00CF092D"/>
    <w:rsid w:val="00CF0EA3"/>
    <w:rsid w:val="00CF152E"/>
    <w:rsid w:val="00CF1770"/>
    <w:rsid w:val="00CF179A"/>
    <w:rsid w:val="00CF191A"/>
    <w:rsid w:val="00CF1EDF"/>
    <w:rsid w:val="00CF20FC"/>
    <w:rsid w:val="00CF2201"/>
    <w:rsid w:val="00CF2A2C"/>
    <w:rsid w:val="00CF3077"/>
    <w:rsid w:val="00CF3085"/>
    <w:rsid w:val="00CF31AD"/>
    <w:rsid w:val="00CF38F6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8F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4FF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BC2"/>
    <w:rsid w:val="00D04CF4"/>
    <w:rsid w:val="00D0516D"/>
    <w:rsid w:val="00D05344"/>
    <w:rsid w:val="00D0563B"/>
    <w:rsid w:val="00D05705"/>
    <w:rsid w:val="00D05BD2"/>
    <w:rsid w:val="00D05E99"/>
    <w:rsid w:val="00D060D7"/>
    <w:rsid w:val="00D061B3"/>
    <w:rsid w:val="00D06285"/>
    <w:rsid w:val="00D06321"/>
    <w:rsid w:val="00D0640E"/>
    <w:rsid w:val="00D0644A"/>
    <w:rsid w:val="00D064B8"/>
    <w:rsid w:val="00D06743"/>
    <w:rsid w:val="00D06D7B"/>
    <w:rsid w:val="00D06E16"/>
    <w:rsid w:val="00D07013"/>
    <w:rsid w:val="00D07607"/>
    <w:rsid w:val="00D07A2C"/>
    <w:rsid w:val="00D10127"/>
    <w:rsid w:val="00D10CA9"/>
    <w:rsid w:val="00D10E4D"/>
    <w:rsid w:val="00D11534"/>
    <w:rsid w:val="00D115A9"/>
    <w:rsid w:val="00D1174E"/>
    <w:rsid w:val="00D11776"/>
    <w:rsid w:val="00D12004"/>
    <w:rsid w:val="00D12168"/>
    <w:rsid w:val="00D12739"/>
    <w:rsid w:val="00D12AD5"/>
    <w:rsid w:val="00D12C3B"/>
    <w:rsid w:val="00D12CC0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119"/>
    <w:rsid w:val="00D14481"/>
    <w:rsid w:val="00D14766"/>
    <w:rsid w:val="00D14D2D"/>
    <w:rsid w:val="00D14DD5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B98"/>
    <w:rsid w:val="00D20F80"/>
    <w:rsid w:val="00D2124A"/>
    <w:rsid w:val="00D21272"/>
    <w:rsid w:val="00D2134C"/>
    <w:rsid w:val="00D213BD"/>
    <w:rsid w:val="00D213C2"/>
    <w:rsid w:val="00D217E9"/>
    <w:rsid w:val="00D21AF1"/>
    <w:rsid w:val="00D21CB6"/>
    <w:rsid w:val="00D21EE5"/>
    <w:rsid w:val="00D228FF"/>
    <w:rsid w:val="00D22A4E"/>
    <w:rsid w:val="00D22A58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01B"/>
    <w:rsid w:val="00D251ED"/>
    <w:rsid w:val="00D25260"/>
    <w:rsid w:val="00D2550D"/>
    <w:rsid w:val="00D25724"/>
    <w:rsid w:val="00D25C7D"/>
    <w:rsid w:val="00D260EA"/>
    <w:rsid w:val="00D26157"/>
    <w:rsid w:val="00D2626F"/>
    <w:rsid w:val="00D26ABE"/>
    <w:rsid w:val="00D27022"/>
    <w:rsid w:val="00D2711F"/>
    <w:rsid w:val="00D275DE"/>
    <w:rsid w:val="00D277C9"/>
    <w:rsid w:val="00D278E9"/>
    <w:rsid w:val="00D27EE6"/>
    <w:rsid w:val="00D30378"/>
    <w:rsid w:val="00D304A6"/>
    <w:rsid w:val="00D30505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0A84"/>
    <w:rsid w:val="00D51067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836"/>
    <w:rsid w:val="00D56F8B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B1F"/>
    <w:rsid w:val="00D61D7E"/>
    <w:rsid w:val="00D620DE"/>
    <w:rsid w:val="00D621F9"/>
    <w:rsid w:val="00D6307C"/>
    <w:rsid w:val="00D632CC"/>
    <w:rsid w:val="00D63D12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A88"/>
    <w:rsid w:val="00D71E4F"/>
    <w:rsid w:val="00D721CE"/>
    <w:rsid w:val="00D7241D"/>
    <w:rsid w:val="00D72626"/>
    <w:rsid w:val="00D728C3"/>
    <w:rsid w:val="00D72C74"/>
    <w:rsid w:val="00D73768"/>
    <w:rsid w:val="00D73AE9"/>
    <w:rsid w:val="00D73CB7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BA5"/>
    <w:rsid w:val="00D77D5E"/>
    <w:rsid w:val="00D77D74"/>
    <w:rsid w:val="00D77E4A"/>
    <w:rsid w:val="00D807C1"/>
    <w:rsid w:val="00D80A66"/>
    <w:rsid w:val="00D80ACB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7E9"/>
    <w:rsid w:val="00D838AD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644"/>
    <w:rsid w:val="00D86784"/>
    <w:rsid w:val="00D87019"/>
    <w:rsid w:val="00D872DA"/>
    <w:rsid w:val="00D875F5"/>
    <w:rsid w:val="00D87BA4"/>
    <w:rsid w:val="00D9009E"/>
    <w:rsid w:val="00D902CF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1E58"/>
    <w:rsid w:val="00D92521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42E"/>
    <w:rsid w:val="00D9765D"/>
    <w:rsid w:val="00D97A5E"/>
    <w:rsid w:val="00D97D12"/>
    <w:rsid w:val="00D97E52"/>
    <w:rsid w:val="00D97EF4"/>
    <w:rsid w:val="00DA036B"/>
    <w:rsid w:val="00DA079B"/>
    <w:rsid w:val="00DA1014"/>
    <w:rsid w:val="00DA124E"/>
    <w:rsid w:val="00DA13FB"/>
    <w:rsid w:val="00DA143E"/>
    <w:rsid w:val="00DA177D"/>
    <w:rsid w:val="00DA17C4"/>
    <w:rsid w:val="00DA184A"/>
    <w:rsid w:val="00DA1C2B"/>
    <w:rsid w:val="00DA1F84"/>
    <w:rsid w:val="00DA2275"/>
    <w:rsid w:val="00DA2384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52E"/>
    <w:rsid w:val="00DA7A54"/>
    <w:rsid w:val="00DA7C1B"/>
    <w:rsid w:val="00DA7D07"/>
    <w:rsid w:val="00DB0639"/>
    <w:rsid w:val="00DB0A3E"/>
    <w:rsid w:val="00DB12B7"/>
    <w:rsid w:val="00DB1390"/>
    <w:rsid w:val="00DB14B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3DB"/>
    <w:rsid w:val="00DC0534"/>
    <w:rsid w:val="00DC0616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B75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58B"/>
    <w:rsid w:val="00DC5BFF"/>
    <w:rsid w:val="00DC5F16"/>
    <w:rsid w:val="00DC5F39"/>
    <w:rsid w:val="00DC605E"/>
    <w:rsid w:val="00DC6BFD"/>
    <w:rsid w:val="00DC7116"/>
    <w:rsid w:val="00DC7117"/>
    <w:rsid w:val="00DD09BF"/>
    <w:rsid w:val="00DD0A81"/>
    <w:rsid w:val="00DD0FA4"/>
    <w:rsid w:val="00DD1276"/>
    <w:rsid w:val="00DD1D6E"/>
    <w:rsid w:val="00DD2285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0E74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37D3"/>
    <w:rsid w:val="00DE3D8F"/>
    <w:rsid w:val="00DE3DC1"/>
    <w:rsid w:val="00DE3E00"/>
    <w:rsid w:val="00DE3F13"/>
    <w:rsid w:val="00DE3FB8"/>
    <w:rsid w:val="00DE4626"/>
    <w:rsid w:val="00DE4A98"/>
    <w:rsid w:val="00DE4B04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C81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3F21"/>
    <w:rsid w:val="00DF442E"/>
    <w:rsid w:val="00DF446A"/>
    <w:rsid w:val="00DF4598"/>
    <w:rsid w:val="00DF47DF"/>
    <w:rsid w:val="00DF523D"/>
    <w:rsid w:val="00DF5516"/>
    <w:rsid w:val="00DF570D"/>
    <w:rsid w:val="00DF5F79"/>
    <w:rsid w:val="00DF6090"/>
    <w:rsid w:val="00DF612C"/>
    <w:rsid w:val="00DF64E9"/>
    <w:rsid w:val="00DF6973"/>
    <w:rsid w:val="00DF698C"/>
    <w:rsid w:val="00DF6B6D"/>
    <w:rsid w:val="00DF6F7B"/>
    <w:rsid w:val="00DF71BC"/>
    <w:rsid w:val="00DF741A"/>
    <w:rsid w:val="00DF7657"/>
    <w:rsid w:val="00DF76BE"/>
    <w:rsid w:val="00DF76D9"/>
    <w:rsid w:val="00DF7861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1BD3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3F99"/>
    <w:rsid w:val="00E045A5"/>
    <w:rsid w:val="00E045B0"/>
    <w:rsid w:val="00E049C6"/>
    <w:rsid w:val="00E04D75"/>
    <w:rsid w:val="00E04F59"/>
    <w:rsid w:val="00E05001"/>
    <w:rsid w:val="00E051CE"/>
    <w:rsid w:val="00E05295"/>
    <w:rsid w:val="00E052F6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593"/>
    <w:rsid w:val="00E1177B"/>
    <w:rsid w:val="00E1196F"/>
    <w:rsid w:val="00E11B17"/>
    <w:rsid w:val="00E11BCD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393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7120"/>
    <w:rsid w:val="00E2778B"/>
    <w:rsid w:val="00E278D9"/>
    <w:rsid w:val="00E27A71"/>
    <w:rsid w:val="00E30128"/>
    <w:rsid w:val="00E3026A"/>
    <w:rsid w:val="00E302A3"/>
    <w:rsid w:val="00E303D9"/>
    <w:rsid w:val="00E306BC"/>
    <w:rsid w:val="00E30823"/>
    <w:rsid w:val="00E3086F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4"/>
    <w:rsid w:val="00E32F5F"/>
    <w:rsid w:val="00E331F4"/>
    <w:rsid w:val="00E3348F"/>
    <w:rsid w:val="00E33FF3"/>
    <w:rsid w:val="00E34258"/>
    <w:rsid w:val="00E34350"/>
    <w:rsid w:val="00E3441B"/>
    <w:rsid w:val="00E3458D"/>
    <w:rsid w:val="00E3459C"/>
    <w:rsid w:val="00E348F8"/>
    <w:rsid w:val="00E34B67"/>
    <w:rsid w:val="00E34C34"/>
    <w:rsid w:val="00E34CE4"/>
    <w:rsid w:val="00E34EC8"/>
    <w:rsid w:val="00E34F17"/>
    <w:rsid w:val="00E34F3D"/>
    <w:rsid w:val="00E34FB2"/>
    <w:rsid w:val="00E352E5"/>
    <w:rsid w:val="00E35840"/>
    <w:rsid w:val="00E35C4D"/>
    <w:rsid w:val="00E3624C"/>
    <w:rsid w:val="00E362E8"/>
    <w:rsid w:val="00E36319"/>
    <w:rsid w:val="00E37499"/>
    <w:rsid w:val="00E40022"/>
    <w:rsid w:val="00E4057C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3B70"/>
    <w:rsid w:val="00E4439A"/>
    <w:rsid w:val="00E44812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DB6"/>
    <w:rsid w:val="00E51E8C"/>
    <w:rsid w:val="00E51ECC"/>
    <w:rsid w:val="00E52268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62A9"/>
    <w:rsid w:val="00E56300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E6"/>
    <w:rsid w:val="00E67861"/>
    <w:rsid w:val="00E67D1F"/>
    <w:rsid w:val="00E700CF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C2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3B4B"/>
    <w:rsid w:val="00E74091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34C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436A"/>
    <w:rsid w:val="00E8453A"/>
    <w:rsid w:val="00E8455B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AB5"/>
    <w:rsid w:val="00EA0C60"/>
    <w:rsid w:val="00EA1123"/>
    <w:rsid w:val="00EA119A"/>
    <w:rsid w:val="00EA1435"/>
    <w:rsid w:val="00EA1B43"/>
    <w:rsid w:val="00EA1D3F"/>
    <w:rsid w:val="00EA21F7"/>
    <w:rsid w:val="00EA22BE"/>
    <w:rsid w:val="00EA2AEA"/>
    <w:rsid w:val="00EA2D45"/>
    <w:rsid w:val="00EA2E54"/>
    <w:rsid w:val="00EA34FA"/>
    <w:rsid w:val="00EA3900"/>
    <w:rsid w:val="00EA3C68"/>
    <w:rsid w:val="00EA3CEB"/>
    <w:rsid w:val="00EA3DC4"/>
    <w:rsid w:val="00EA3EA2"/>
    <w:rsid w:val="00EA51A8"/>
    <w:rsid w:val="00EA596C"/>
    <w:rsid w:val="00EA5BAD"/>
    <w:rsid w:val="00EA5DC2"/>
    <w:rsid w:val="00EA6127"/>
    <w:rsid w:val="00EA645B"/>
    <w:rsid w:val="00EA668C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AE8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07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B7604"/>
    <w:rsid w:val="00EB7A09"/>
    <w:rsid w:val="00EB7E7F"/>
    <w:rsid w:val="00EC0467"/>
    <w:rsid w:val="00EC05C0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EE"/>
    <w:rsid w:val="00EC30D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600"/>
    <w:rsid w:val="00EC78F5"/>
    <w:rsid w:val="00EC794C"/>
    <w:rsid w:val="00EC7CE5"/>
    <w:rsid w:val="00ED0054"/>
    <w:rsid w:val="00ED177B"/>
    <w:rsid w:val="00ED1B5A"/>
    <w:rsid w:val="00ED234C"/>
    <w:rsid w:val="00ED23D3"/>
    <w:rsid w:val="00ED2433"/>
    <w:rsid w:val="00ED2BC0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5D"/>
    <w:rsid w:val="00ED62C1"/>
    <w:rsid w:val="00ED6466"/>
    <w:rsid w:val="00ED682D"/>
    <w:rsid w:val="00ED6BAA"/>
    <w:rsid w:val="00ED6C93"/>
    <w:rsid w:val="00ED7301"/>
    <w:rsid w:val="00ED76EF"/>
    <w:rsid w:val="00ED7EA3"/>
    <w:rsid w:val="00ED7FC2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4D5"/>
    <w:rsid w:val="00EE188F"/>
    <w:rsid w:val="00EE18AD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C27"/>
    <w:rsid w:val="00EE7F7C"/>
    <w:rsid w:val="00EF0046"/>
    <w:rsid w:val="00EF0419"/>
    <w:rsid w:val="00EF0432"/>
    <w:rsid w:val="00EF0BD9"/>
    <w:rsid w:val="00EF110D"/>
    <w:rsid w:val="00EF1152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D1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994"/>
    <w:rsid w:val="00F01A42"/>
    <w:rsid w:val="00F028DD"/>
    <w:rsid w:val="00F02ED8"/>
    <w:rsid w:val="00F0349A"/>
    <w:rsid w:val="00F038EF"/>
    <w:rsid w:val="00F039F2"/>
    <w:rsid w:val="00F03D06"/>
    <w:rsid w:val="00F03FBB"/>
    <w:rsid w:val="00F0408D"/>
    <w:rsid w:val="00F041E8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526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E13"/>
    <w:rsid w:val="00F10EFE"/>
    <w:rsid w:val="00F10F73"/>
    <w:rsid w:val="00F11700"/>
    <w:rsid w:val="00F11916"/>
    <w:rsid w:val="00F11D33"/>
    <w:rsid w:val="00F11DAE"/>
    <w:rsid w:val="00F1284E"/>
    <w:rsid w:val="00F1288A"/>
    <w:rsid w:val="00F13710"/>
    <w:rsid w:val="00F13B8A"/>
    <w:rsid w:val="00F13F03"/>
    <w:rsid w:val="00F13F55"/>
    <w:rsid w:val="00F13F97"/>
    <w:rsid w:val="00F141FC"/>
    <w:rsid w:val="00F146C1"/>
    <w:rsid w:val="00F14D7C"/>
    <w:rsid w:val="00F15544"/>
    <w:rsid w:val="00F15B7B"/>
    <w:rsid w:val="00F16010"/>
    <w:rsid w:val="00F16543"/>
    <w:rsid w:val="00F16859"/>
    <w:rsid w:val="00F16CD8"/>
    <w:rsid w:val="00F16DF2"/>
    <w:rsid w:val="00F16EFD"/>
    <w:rsid w:val="00F16F62"/>
    <w:rsid w:val="00F17080"/>
    <w:rsid w:val="00F17774"/>
    <w:rsid w:val="00F17E97"/>
    <w:rsid w:val="00F20756"/>
    <w:rsid w:val="00F20D0D"/>
    <w:rsid w:val="00F20D58"/>
    <w:rsid w:val="00F20D9F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B2"/>
    <w:rsid w:val="00F232D7"/>
    <w:rsid w:val="00F23822"/>
    <w:rsid w:val="00F23CF1"/>
    <w:rsid w:val="00F23D5E"/>
    <w:rsid w:val="00F241EF"/>
    <w:rsid w:val="00F247FE"/>
    <w:rsid w:val="00F24B3F"/>
    <w:rsid w:val="00F25487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0C6"/>
    <w:rsid w:val="00F3246E"/>
    <w:rsid w:val="00F324B6"/>
    <w:rsid w:val="00F328A8"/>
    <w:rsid w:val="00F32D46"/>
    <w:rsid w:val="00F32FFF"/>
    <w:rsid w:val="00F3322B"/>
    <w:rsid w:val="00F337D2"/>
    <w:rsid w:val="00F33B97"/>
    <w:rsid w:val="00F3404B"/>
    <w:rsid w:val="00F34AA5"/>
    <w:rsid w:val="00F35559"/>
    <w:rsid w:val="00F358AF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D18"/>
    <w:rsid w:val="00F40E79"/>
    <w:rsid w:val="00F40FB1"/>
    <w:rsid w:val="00F41063"/>
    <w:rsid w:val="00F41091"/>
    <w:rsid w:val="00F413E2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EB"/>
    <w:rsid w:val="00F5075A"/>
    <w:rsid w:val="00F50893"/>
    <w:rsid w:val="00F50AAB"/>
    <w:rsid w:val="00F5111D"/>
    <w:rsid w:val="00F515FF"/>
    <w:rsid w:val="00F51722"/>
    <w:rsid w:val="00F51974"/>
    <w:rsid w:val="00F51B2B"/>
    <w:rsid w:val="00F51D5F"/>
    <w:rsid w:val="00F5202F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592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13BB"/>
    <w:rsid w:val="00F6238B"/>
    <w:rsid w:val="00F6264B"/>
    <w:rsid w:val="00F62836"/>
    <w:rsid w:val="00F62B19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3E7"/>
    <w:rsid w:val="00F66932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2E"/>
    <w:rsid w:val="00F73DDE"/>
    <w:rsid w:val="00F73EC6"/>
    <w:rsid w:val="00F74A34"/>
    <w:rsid w:val="00F74A43"/>
    <w:rsid w:val="00F74EC8"/>
    <w:rsid w:val="00F74F77"/>
    <w:rsid w:val="00F751C9"/>
    <w:rsid w:val="00F7543A"/>
    <w:rsid w:val="00F7556A"/>
    <w:rsid w:val="00F75756"/>
    <w:rsid w:val="00F75F40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174"/>
    <w:rsid w:val="00F82A5E"/>
    <w:rsid w:val="00F82E9A"/>
    <w:rsid w:val="00F83180"/>
    <w:rsid w:val="00F83466"/>
    <w:rsid w:val="00F837DE"/>
    <w:rsid w:val="00F83B70"/>
    <w:rsid w:val="00F84265"/>
    <w:rsid w:val="00F84697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8CD"/>
    <w:rsid w:val="00F87912"/>
    <w:rsid w:val="00F87E2D"/>
    <w:rsid w:val="00F90064"/>
    <w:rsid w:val="00F907AF"/>
    <w:rsid w:val="00F90B76"/>
    <w:rsid w:val="00F90F94"/>
    <w:rsid w:val="00F912D2"/>
    <w:rsid w:val="00F918DB"/>
    <w:rsid w:val="00F91F38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45A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6084"/>
    <w:rsid w:val="00FA621E"/>
    <w:rsid w:val="00FA635E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245"/>
    <w:rsid w:val="00FC25DE"/>
    <w:rsid w:val="00FC2B15"/>
    <w:rsid w:val="00FC2B1C"/>
    <w:rsid w:val="00FC3358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73D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34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713"/>
    <w:rsid w:val="00FE0916"/>
    <w:rsid w:val="00FE0C98"/>
    <w:rsid w:val="00FE14C9"/>
    <w:rsid w:val="00FE1C3F"/>
    <w:rsid w:val="00FE1C94"/>
    <w:rsid w:val="00FE1F86"/>
    <w:rsid w:val="00FE2279"/>
    <w:rsid w:val="00FE2731"/>
    <w:rsid w:val="00FE28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BF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62"/>
    <w:rPr>
      <w:sz w:val="0"/>
      <w:szCs w:val="0"/>
    </w:rPr>
  </w:style>
  <w:style w:type="paragraph" w:styleId="Header">
    <w:name w:val="header"/>
    <w:aliases w:val="Linie,ВерхКолонтитул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54635D"/>
    <w:rPr>
      <w:sz w:val="24"/>
    </w:rPr>
  </w:style>
  <w:style w:type="character" w:styleId="PageNumber">
    <w:name w:val="page number"/>
    <w:basedOn w:val="DefaultParagraphFont"/>
    <w:uiPriority w:val="99"/>
    <w:rsid w:val="003F3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C62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842C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C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4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4DF"/>
    <w:rPr>
      <w:b/>
    </w:rPr>
  </w:style>
  <w:style w:type="paragraph" w:styleId="NoSpacing">
    <w:name w:val="No Spacing"/>
    <w:uiPriority w:val="99"/>
    <w:qFormat/>
    <w:rsid w:val="002126E4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E4729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729C"/>
    <w:rPr>
      <w:rFonts w:ascii="Calibri" w:eastAsia="Times New Roman" w:hAnsi="Calibri"/>
      <w:sz w:val="21"/>
      <w:lang w:eastAsia="en-US"/>
    </w:rPr>
  </w:style>
  <w:style w:type="paragraph" w:customStyle="1" w:styleId="ConsPlusNormal">
    <w:name w:val="ConsPlusNormal"/>
    <w:uiPriority w:val="99"/>
    <w:rsid w:val="00D22A5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EndnoteText">
    <w:name w:val="endnote text"/>
    <w:basedOn w:val="Normal"/>
    <w:link w:val="EndnoteTextChar"/>
    <w:uiPriority w:val="99"/>
    <w:rsid w:val="000F3C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F3C4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0F3C4B"/>
    <w:rPr>
      <w:rFonts w:cs="Times New Roman"/>
      <w:vertAlign w:val="superscript"/>
    </w:rPr>
  </w:style>
  <w:style w:type="character" w:customStyle="1" w:styleId="CharStyle49">
    <w:name w:val="CharStyle49"/>
    <w:uiPriority w:val="99"/>
    <w:rsid w:val="00AD0050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B8306C"/>
    <w:pPr>
      <w:ind w:left="720"/>
      <w:contextualSpacing/>
    </w:pPr>
  </w:style>
  <w:style w:type="character" w:customStyle="1" w:styleId="FontStyle30">
    <w:name w:val="Font Style30"/>
    <w:basedOn w:val="DefaultParagraphFont"/>
    <w:uiPriority w:val="99"/>
    <w:rsid w:val="0081690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7413FA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5737C"/>
    <w:rPr>
      <w:rFonts w:ascii="Times New Roman" w:hAnsi="Times New Roman" w:cs="Times New Roman"/>
      <w:sz w:val="26"/>
      <w:szCs w:val="26"/>
    </w:rPr>
  </w:style>
  <w:style w:type="character" w:customStyle="1" w:styleId="pt-a0-000005">
    <w:name w:val="pt-a0-000005"/>
    <w:basedOn w:val="DefaultParagraphFont"/>
    <w:uiPriority w:val="99"/>
    <w:rsid w:val="0045737C"/>
    <w:rPr>
      <w:rFonts w:ascii="Times New Roman CYR" w:hAnsi="Times New Roman CYR" w:cs="Times New Roman"/>
      <w:sz w:val="28"/>
      <w:szCs w:val="28"/>
    </w:rPr>
  </w:style>
  <w:style w:type="paragraph" w:customStyle="1" w:styleId="Style22">
    <w:name w:val="Style22"/>
    <w:basedOn w:val="Normal"/>
    <w:uiPriority w:val="99"/>
    <w:rsid w:val="0045737C"/>
    <w:pPr>
      <w:widowControl w:val="0"/>
      <w:autoSpaceDE w:val="0"/>
      <w:autoSpaceDN w:val="0"/>
      <w:adjustRightInd w:val="0"/>
      <w:spacing w:line="293" w:lineRule="exact"/>
      <w:ind w:firstLine="727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FBFC3814B8EDAB8DFB52E9C52E276D684EA91E98F330304B381B9913C9687160A0668941A7A31wDu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DE8168F66F1B1226AA4E19993CBF0288237CE2CF0DF263173FB0917A2D5084CA2BED89D3EDD7cEP3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hb.ru/legal/credits/garant" TargetMode="External"/><Relationship Id="rId1" Type="http://schemas.openxmlformats.org/officeDocument/2006/relationships/hyperlink" Target="http://www.sberbank.ru/ru/legal/credits/warran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ОРВ.dot</Template>
  <TotalTime>1</TotalTime>
  <Pages>25</Pages>
  <Words>9374</Words>
  <Characters>-32766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MarushinIO</dc:creator>
  <cp:keywords/>
  <dc:description/>
  <cp:lastModifiedBy>Image-ПК</cp:lastModifiedBy>
  <cp:revision>2</cp:revision>
  <cp:lastPrinted>2017-05-05T07:30:00Z</cp:lastPrinted>
  <dcterms:created xsi:type="dcterms:W3CDTF">2017-05-05T11:48:00Z</dcterms:created>
  <dcterms:modified xsi:type="dcterms:W3CDTF">2017-05-05T11:48:00Z</dcterms:modified>
</cp:coreProperties>
</file>